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81188" w14:textId="77777777" w:rsidR="00975343" w:rsidRDefault="00975343" w:rsidP="00975343">
      <w:pPr>
        <w:pStyle w:val="LEAP-Heading1"/>
        <w:spacing w:before="0" w:after="0" w:line="240" w:lineRule="auto"/>
        <w:jc w:val="center"/>
        <w:rPr>
          <w:rFonts w:cstheme="minorHAnsi"/>
          <w:sz w:val="36"/>
          <w:szCs w:val="36"/>
        </w:rPr>
      </w:pPr>
    </w:p>
    <w:p w14:paraId="1C9564A7" w14:textId="77777777" w:rsidR="00975343" w:rsidRDefault="00975343" w:rsidP="00975343">
      <w:pPr>
        <w:pStyle w:val="LEAP-Heading1"/>
        <w:spacing w:before="0" w:after="0" w:line="240" w:lineRule="auto"/>
        <w:jc w:val="center"/>
        <w:rPr>
          <w:rFonts w:cstheme="minorHAnsi"/>
          <w:sz w:val="36"/>
          <w:szCs w:val="36"/>
        </w:rPr>
      </w:pPr>
    </w:p>
    <w:p w14:paraId="2A4310C5" w14:textId="77777777" w:rsidR="00975343" w:rsidRDefault="00147F59" w:rsidP="00147F59">
      <w:pPr>
        <w:pStyle w:val="LEAP-Heading1"/>
        <w:spacing w:before="0" w:after="0" w:line="240" w:lineRule="auto"/>
        <w:rPr>
          <w:rFonts w:cstheme="minorHAnsi"/>
          <w:sz w:val="36"/>
          <w:szCs w:val="36"/>
        </w:rPr>
      </w:pPr>
      <w:r>
        <w:rPr>
          <w:rFonts w:cstheme="minorHAnsi"/>
          <w:sz w:val="36"/>
          <w:szCs w:val="36"/>
        </w:rPr>
        <w:t>Des</w:t>
      </w:r>
      <w:r w:rsidR="00367057">
        <w:rPr>
          <w:rFonts w:cstheme="minorHAnsi"/>
          <w:sz w:val="36"/>
          <w:szCs w:val="36"/>
        </w:rPr>
        <w:t>k Review on Learning</w:t>
      </w:r>
    </w:p>
    <w:p w14:paraId="69E70E96" w14:textId="77777777" w:rsidR="00975343" w:rsidRPr="00975343" w:rsidRDefault="00975343" w:rsidP="00975343"/>
    <w:p w14:paraId="60277319" w14:textId="77777777" w:rsidR="00C50886" w:rsidRDefault="00C50886" w:rsidP="00975343">
      <w:pPr>
        <w:spacing w:before="0" w:after="0"/>
        <w:jc w:val="both"/>
        <w:rPr>
          <w:rFonts w:cstheme="minorHAnsi"/>
          <w:color w:val="auto"/>
          <w:sz w:val="21"/>
          <w:szCs w:val="21"/>
        </w:rPr>
      </w:pPr>
      <w:r w:rsidRPr="00C50886">
        <w:rPr>
          <w:rFonts w:cstheme="minorHAnsi"/>
          <w:color w:val="auto"/>
          <w:sz w:val="21"/>
          <w:szCs w:val="21"/>
        </w:rPr>
        <w:t>This review covers a selection of recent publications that tackle the challenges faced by the educational system in Romania.</w:t>
      </w:r>
    </w:p>
    <w:p w14:paraId="6477616B" w14:textId="77777777" w:rsidR="00975343" w:rsidRPr="00C50886" w:rsidRDefault="00975343" w:rsidP="00975343">
      <w:pPr>
        <w:spacing w:before="0" w:after="0"/>
        <w:jc w:val="both"/>
        <w:rPr>
          <w:rFonts w:cstheme="minorHAnsi"/>
          <w:color w:val="auto"/>
          <w:sz w:val="21"/>
          <w:szCs w:val="21"/>
        </w:rPr>
      </w:pPr>
    </w:p>
    <w:p w14:paraId="52E12FD2" w14:textId="77777777" w:rsidR="00C50886" w:rsidRDefault="00C50886" w:rsidP="00975343">
      <w:pPr>
        <w:spacing w:before="0" w:after="0"/>
        <w:jc w:val="both"/>
        <w:rPr>
          <w:rFonts w:cstheme="minorHAnsi"/>
          <w:color w:val="auto"/>
          <w:sz w:val="21"/>
          <w:szCs w:val="21"/>
        </w:rPr>
      </w:pPr>
      <w:r w:rsidRPr="00C50886">
        <w:rPr>
          <w:rFonts w:cstheme="minorHAnsi"/>
          <w:color w:val="auto"/>
          <w:sz w:val="21"/>
          <w:szCs w:val="21"/>
        </w:rPr>
        <w:t xml:space="preserve">The first half of 2020 - marked by the global coronavirus pandemic - reaffirmed several difficulties already recognized in the context of the Romanian educational system. Specifically, the discrepancies between rural and urban areas and the learning disadvantages associated with lower economic resources resurfaced once more, as the teaching activities transferred in the online milieu. Many children and youth were challenged by these new and unexpected developments, due to unequal access to technology and inadequate availability of internet connection. In addition, the pandemic-driven changes revealed the need for widespread ITC proficiency among teachers, themselves challenged by the sudden transition to online teaching and evaluation. </w:t>
      </w:r>
    </w:p>
    <w:p w14:paraId="23F45EFC" w14:textId="77777777" w:rsidR="00975343" w:rsidRPr="00C50886" w:rsidRDefault="00975343" w:rsidP="00975343">
      <w:pPr>
        <w:spacing w:before="0" w:after="0"/>
        <w:jc w:val="both"/>
        <w:rPr>
          <w:rFonts w:cstheme="minorHAnsi"/>
          <w:color w:val="auto"/>
          <w:sz w:val="21"/>
          <w:szCs w:val="21"/>
        </w:rPr>
      </w:pPr>
    </w:p>
    <w:p w14:paraId="70ECBF43" w14:textId="77777777" w:rsidR="00C50886" w:rsidRDefault="00C50886" w:rsidP="00975343">
      <w:pPr>
        <w:spacing w:before="0" w:after="0"/>
        <w:jc w:val="both"/>
        <w:rPr>
          <w:rFonts w:cstheme="minorHAnsi"/>
          <w:color w:val="auto"/>
          <w:sz w:val="21"/>
          <w:szCs w:val="21"/>
        </w:rPr>
      </w:pPr>
      <w:r w:rsidRPr="00C50886">
        <w:rPr>
          <w:rFonts w:cstheme="minorHAnsi"/>
          <w:color w:val="auto"/>
          <w:sz w:val="21"/>
          <w:szCs w:val="21"/>
        </w:rPr>
        <w:t>The sources used in this review include:</w:t>
      </w:r>
    </w:p>
    <w:p w14:paraId="457265C0" w14:textId="77777777" w:rsidR="00975343" w:rsidRPr="00C50886" w:rsidRDefault="00975343" w:rsidP="00975343">
      <w:pPr>
        <w:spacing w:before="0" w:after="0"/>
        <w:jc w:val="both"/>
        <w:rPr>
          <w:rFonts w:cstheme="minorHAnsi"/>
          <w:color w:val="auto"/>
          <w:sz w:val="21"/>
          <w:szCs w:val="21"/>
        </w:rPr>
      </w:pPr>
    </w:p>
    <w:p w14:paraId="50B64CB1" w14:textId="77777777" w:rsidR="00C50886" w:rsidRPr="00C50886" w:rsidRDefault="00C50886" w:rsidP="00975343">
      <w:pPr>
        <w:pStyle w:val="ListParagraph"/>
        <w:numPr>
          <w:ilvl w:val="0"/>
          <w:numId w:val="3"/>
        </w:numPr>
        <w:spacing w:after="0" w:line="240" w:lineRule="auto"/>
        <w:jc w:val="both"/>
        <w:rPr>
          <w:rFonts w:cstheme="minorHAnsi"/>
          <w:sz w:val="21"/>
          <w:szCs w:val="21"/>
        </w:rPr>
      </w:pPr>
      <w:r w:rsidRPr="00C50886">
        <w:rPr>
          <w:rFonts w:cstheme="minorHAnsi"/>
          <w:sz w:val="21"/>
          <w:szCs w:val="21"/>
        </w:rPr>
        <w:t xml:space="preserve">International reports, studies and official statistics related to education </w:t>
      </w:r>
    </w:p>
    <w:p w14:paraId="7CA90940" w14:textId="77777777" w:rsidR="00C50886" w:rsidRPr="00C50886" w:rsidRDefault="00C50886" w:rsidP="00975343">
      <w:pPr>
        <w:pStyle w:val="ListParagraph"/>
        <w:numPr>
          <w:ilvl w:val="0"/>
          <w:numId w:val="3"/>
        </w:numPr>
        <w:spacing w:after="0" w:line="240" w:lineRule="auto"/>
        <w:jc w:val="both"/>
        <w:rPr>
          <w:rFonts w:cstheme="minorHAnsi"/>
          <w:sz w:val="21"/>
          <w:szCs w:val="21"/>
        </w:rPr>
      </w:pPr>
      <w:r w:rsidRPr="00C50886">
        <w:rPr>
          <w:rFonts w:cstheme="minorHAnsi"/>
          <w:sz w:val="21"/>
          <w:szCs w:val="21"/>
        </w:rPr>
        <w:t>Reports issued by public institutions from Romania</w:t>
      </w:r>
    </w:p>
    <w:p w14:paraId="7BD4CC1D" w14:textId="77777777" w:rsidR="00C50886" w:rsidRPr="00C50886" w:rsidRDefault="00C50886" w:rsidP="00975343">
      <w:pPr>
        <w:pStyle w:val="ListParagraph"/>
        <w:numPr>
          <w:ilvl w:val="0"/>
          <w:numId w:val="3"/>
        </w:numPr>
        <w:spacing w:after="0" w:line="240" w:lineRule="auto"/>
        <w:jc w:val="both"/>
        <w:rPr>
          <w:rFonts w:cstheme="minorHAnsi"/>
          <w:sz w:val="21"/>
          <w:szCs w:val="21"/>
        </w:rPr>
      </w:pPr>
      <w:r w:rsidRPr="00C50886">
        <w:rPr>
          <w:rFonts w:cstheme="minorHAnsi"/>
          <w:sz w:val="21"/>
          <w:szCs w:val="21"/>
        </w:rPr>
        <w:t xml:space="preserve">Research reports and academic studies on education </w:t>
      </w:r>
    </w:p>
    <w:p w14:paraId="2DA77C15" w14:textId="77777777" w:rsidR="00C50886" w:rsidRDefault="00C50886" w:rsidP="00975343">
      <w:pPr>
        <w:pStyle w:val="ListParagraph"/>
        <w:numPr>
          <w:ilvl w:val="0"/>
          <w:numId w:val="3"/>
        </w:numPr>
        <w:spacing w:after="0" w:line="240" w:lineRule="auto"/>
        <w:jc w:val="both"/>
        <w:rPr>
          <w:rFonts w:cstheme="minorHAnsi"/>
          <w:sz w:val="21"/>
          <w:szCs w:val="21"/>
        </w:rPr>
      </w:pPr>
      <w:r w:rsidRPr="00C50886">
        <w:rPr>
          <w:rFonts w:cstheme="minorHAnsi"/>
          <w:sz w:val="21"/>
          <w:szCs w:val="21"/>
        </w:rPr>
        <w:t>Studies issued by non-governmental organizations with activities in the realm of education</w:t>
      </w:r>
    </w:p>
    <w:p w14:paraId="0D4FFBBD" w14:textId="77777777" w:rsidR="00975343" w:rsidRPr="00C50886" w:rsidRDefault="00975343" w:rsidP="00A840F1">
      <w:pPr>
        <w:pStyle w:val="ListParagraph"/>
        <w:spacing w:after="0" w:line="240" w:lineRule="auto"/>
        <w:ind w:left="1140"/>
        <w:jc w:val="both"/>
        <w:rPr>
          <w:rFonts w:cstheme="minorHAnsi"/>
          <w:sz w:val="21"/>
          <w:szCs w:val="21"/>
        </w:rPr>
      </w:pPr>
    </w:p>
    <w:p w14:paraId="5079276C" w14:textId="77777777" w:rsidR="00C50886" w:rsidRPr="00C50886" w:rsidRDefault="00C50886" w:rsidP="00975343">
      <w:pPr>
        <w:spacing w:before="0" w:after="0"/>
        <w:jc w:val="both"/>
        <w:rPr>
          <w:rFonts w:cstheme="minorHAnsi"/>
          <w:color w:val="auto"/>
          <w:sz w:val="21"/>
          <w:szCs w:val="21"/>
        </w:rPr>
      </w:pPr>
      <w:r w:rsidRPr="00C50886">
        <w:rPr>
          <w:rFonts w:cstheme="minorHAnsi"/>
          <w:color w:val="auto"/>
          <w:sz w:val="21"/>
          <w:szCs w:val="21"/>
        </w:rPr>
        <w:t xml:space="preserve">Where possible, we offer details about the educational context from Cluj county; however, since on many issues the county-level information is scarce, some of the highlights included in this review offer a general picture of challenges encountered by Romanian schools and students. </w:t>
      </w:r>
    </w:p>
    <w:p w14:paraId="52EA490D" w14:textId="77777777" w:rsidR="00145A9D" w:rsidRDefault="00145A9D" w:rsidP="00975343">
      <w:pPr>
        <w:pStyle w:val="LEAP-Normal"/>
        <w:spacing w:before="0" w:after="0"/>
        <w:rPr>
          <w:lang w:val="ro-RO"/>
        </w:rPr>
      </w:pPr>
    </w:p>
    <w:p w14:paraId="01016A5E" w14:textId="77777777" w:rsidR="00975343" w:rsidRPr="00712EC0" w:rsidRDefault="00975343" w:rsidP="00975343">
      <w:pPr>
        <w:pStyle w:val="LEAP-Heading2"/>
        <w:spacing w:before="0" w:after="0" w:line="240" w:lineRule="auto"/>
        <w:jc w:val="both"/>
        <w:rPr>
          <w:sz w:val="28"/>
          <w:szCs w:val="28"/>
          <w:lang w:val="ro-RO"/>
        </w:rPr>
      </w:pPr>
      <w:r w:rsidRPr="00712EC0">
        <w:rPr>
          <w:rFonts w:cstheme="minorHAnsi"/>
          <w:sz w:val="28"/>
          <w:szCs w:val="28"/>
        </w:rPr>
        <w:t>Characteristics of Romanian education system reflected in international studies and comparisons</w:t>
      </w:r>
      <w:r w:rsidR="00817E33" w:rsidRPr="00712EC0">
        <w:rPr>
          <w:sz w:val="28"/>
          <w:szCs w:val="28"/>
          <w:lang w:val="ro-RO"/>
        </w:rPr>
        <w:t xml:space="preserve">  </w:t>
      </w:r>
    </w:p>
    <w:p w14:paraId="2E5A482E" w14:textId="77777777" w:rsidR="00975343" w:rsidRDefault="00975343" w:rsidP="00975343">
      <w:pPr>
        <w:spacing w:before="0" w:after="0"/>
        <w:jc w:val="both"/>
        <w:rPr>
          <w:rFonts w:cstheme="minorHAnsi"/>
          <w:color w:val="auto"/>
          <w:sz w:val="21"/>
          <w:szCs w:val="21"/>
        </w:rPr>
      </w:pPr>
    </w:p>
    <w:p w14:paraId="588FD0BF" w14:textId="77777777" w:rsidR="00975343" w:rsidRDefault="00975343" w:rsidP="00975343">
      <w:pPr>
        <w:spacing w:before="0" w:after="0"/>
        <w:jc w:val="both"/>
        <w:rPr>
          <w:rFonts w:cstheme="minorHAnsi"/>
          <w:color w:val="auto"/>
          <w:sz w:val="21"/>
          <w:szCs w:val="21"/>
        </w:rPr>
      </w:pPr>
      <w:r w:rsidRPr="00975343">
        <w:rPr>
          <w:rFonts w:cstheme="minorHAnsi"/>
          <w:color w:val="auto"/>
          <w:sz w:val="21"/>
          <w:szCs w:val="21"/>
        </w:rPr>
        <w:t xml:space="preserve">The 2019 edition of the </w:t>
      </w:r>
      <w:r w:rsidRPr="00975343">
        <w:rPr>
          <w:rFonts w:cstheme="minorHAnsi"/>
          <w:b/>
          <w:color w:val="auto"/>
          <w:sz w:val="21"/>
          <w:szCs w:val="21"/>
        </w:rPr>
        <w:t>Education and Training Monitor</w:t>
      </w:r>
      <w:r w:rsidRPr="00975343">
        <w:rPr>
          <w:rFonts w:cstheme="minorHAnsi"/>
          <w:color w:val="auto"/>
          <w:sz w:val="21"/>
          <w:szCs w:val="21"/>
        </w:rPr>
        <w:t xml:space="preserve"> (a periodical comparative assessment published by the European Union) provides the following description of the current shortcomings in the Romanian context: </w:t>
      </w:r>
    </w:p>
    <w:p w14:paraId="20481208" w14:textId="77777777" w:rsidR="00975343" w:rsidRPr="00975343" w:rsidRDefault="00975343" w:rsidP="00975343">
      <w:pPr>
        <w:spacing w:before="0" w:after="0"/>
        <w:jc w:val="both"/>
        <w:rPr>
          <w:rFonts w:cstheme="minorHAnsi"/>
          <w:color w:val="auto"/>
          <w:sz w:val="21"/>
          <w:szCs w:val="21"/>
        </w:rPr>
      </w:pPr>
    </w:p>
    <w:p w14:paraId="07E88896" w14:textId="77777777" w:rsidR="00975343" w:rsidRDefault="00975343" w:rsidP="00975343">
      <w:pPr>
        <w:spacing w:before="0" w:after="0"/>
        <w:ind w:left="426"/>
        <w:jc w:val="both"/>
        <w:rPr>
          <w:rFonts w:cstheme="minorHAnsi"/>
          <w:color w:val="auto"/>
          <w:sz w:val="21"/>
          <w:szCs w:val="21"/>
        </w:rPr>
      </w:pPr>
      <w:r w:rsidRPr="00975343">
        <w:rPr>
          <w:rFonts w:cstheme="minorHAnsi"/>
          <w:color w:val="auto"/>
          <w:sz w:val="21"/>
          <w:szCs w:val="21"/>
        </w:rPr>
        <w:t>“Public spending on education is low in EU comparison, while the sector’s investment needs are high. Any major reform is likely to require additional funding linked to stronger equity and efficiency mechanisms. Better support for teachers, in particular by redesigning initial teacher education and strengthening continuing professional development – could help improve quality and equity.”</w:t>
      </w:r>
      <w:r w:rsidRPr="00975343">
        <w:rPr>
          <w:rStyle w:val="FootnoteReference"/>
          <w:rFonts w:cstheme="minorHAnsi"/>
          <w:color w:val="auto"/>
          <w:sz w:val="21"/>
          <w:szCs w:val="21"/>
        </w:rPr>
        <w:footnoteReference w:id="1"/>
      </w:r>
      <w:r w:rsidRPr="00975343">
        <w:rPr>
          <w:rFonts w:cstheme="minorHAnsi"/>
          <w:color w:val="auto"/>
          <w:sz w:val="21"/>
          <w:szCs w:val="21"/>
        </w:rPr>
        <w:t xml:space="preserve"> </w:t>
      </w:r>
    </w:p>
    <w:p w14:paraId="7ECCA77F" w14:textId="77777777" w:rsidR="00975343" w:rsidRPr="00975343" w:rsidRDefault="00975343" w:rsidP="00975343">
      <w:pPr>
        <w:spacing w:before="0" w:after="0"/>
        <w:ind w:left="426"/>
        <w:jc w:val="both"/>
        <w:rPr>
          <w:rFonts w:cstheme="minorHAnsi"/>
          <w:color w:val="auto"/>
          <w:sz w:val="21"/>
          <w:szCs w:val="21"/>
        </w:rPr>
      </w:pPr>
    </w:p>
    <w:p w14:paraId="0C42BE82" w14:textId="77777777" w:rsidR="00975343" w:rsidRPr="00975343" w:rsidRDefault="00975343" w:rsidP="00975343">
      <w:pPr>
        <w:spacing w:before="0" w:after="0"/>
        <w:jc w:val="both"/>
        <w:rPr>
          <w:rFonts w:cstheme="minorHAnsi"/>
          <w:color w:val="auto"/>
          <w:sz w:val="21"/>
          <w:szCs w:val="21"/>
        </w:rPr>
      </w:pPr>
      <w:r w:rsidRPr="00975343">
        <w:rPr>
          <w:rFonts w:cstheme="minorHAnsi"/>
          <w:b/>
          <w:color w:val="auto"/>
          <w:sz w:val="21"/>
          <w:szCs w:val="21"/>
        </w:rPr>
        <w:t>TALIS</w:t>
      </w:r>
      <w:r w:rsidRPr="00975343">
        <w:rPr>
          <w:rFonts w:cstheme="minorHAnsi"/>
          <w:color w:val="auto"/>
          <w:sz w:val="21"/>
          <w:szCs w:val="21"/>
        </w:rPr>
        <w:t xml:space="preserve"> is an international study coordinated by OECD, which covers a wide range of topics related to school environment and the professional trajectories of teachers. Several highlights from the 2018 edition</w:t>
      </w:r>
      <w:r w:rsidRPr="00975343">
        <w:rPr>
          <w:rStyle w:val="FootnoteReference"/>
          <w:rFonts w:cstheme="minorHAnsi"/>
          <w:color w:val="auto"/>
          <w:sz w:val="21"/>
          <w:szCs w:val="21"/>
        </w:rPr>
        <w:footnoteReference w:id="2"/>
      </w:r>
      <w:r w:rsidRPr="00975343">
        <w:rPr>
          <w:rFonts w:cstheme="minorHAnsi"/>
          <w:color w:val="auto"/>
          <w:sz w:val="21"/>
          <w:szCs w:val="21"/>
        </w:rPr>
        <w:t xml:space="preserve"> are outlined below: </w:t>
      </w:r>
    </w:p>
    <w:p w14:paraId="77932F01" w14:textId="77777777" w:rsidR="00975343" w:rsidRPr="00A840F1" w:rsidRDefault="00975343" w:rsidP="00A840F1">
      <w:pPr>
        <w:spacing w:before="0" w:after="0"/>
        <w:rPr>
          <w:color w:val="auto"/>
          <w:lang w:val="ro-RO"/>
        </w:rPr>
      </w:pPr>
    </w:p>
    <w:p w14:paraId="647F38E4" w14:textId="77777777" w:rsidR="00975343" w:rsidRPr="00A840F1" w:rsidRDefault="00975343" w:rsidP="00A840F1">
      <w:pPr>
        <w:spacing w:before="0" w:after="0"/>
        <w:ind w:left="284"/>
        <w:jc w:val="both"/>
        <w:rPr>
          <w:rFonts w:cstheme="minorHAnsi"/>
          <w:color w:val="auto"/>
          <w:sz w:val="21"/>
          <w:szCs w:val="21"/>
        </w:rPr>
      </w:pPr>
      <w:r w:rsidRPr="00A840F1">
        <w:rPr>
          <w:rFonts w:cstheme="minorHAnsi"/>
          <w:color w:val="auto"/>
          <w:sz w:val="21"/>
          <w:szCs w:val="21"/>
        </w:rPr>
        <w:t>“Across the OECD, developing advanced ICT skills is one area in which teachers say that they need more training, along with teaching in multicultural/multilingual settings and teaching students with special needs. Among these three areas, teachers in Romania expressed a particularly high need for training in teaching students with special needs.”</w:t>
      </w:r>
      <w:r w:rsidRPr="00A840F1">
        <w:rPr>
          <w:rStyle w:val="FootnoteReference"/>
          <w:rFonts w:cstheme="minorHAnsi"/>
          <w:color w:val="auto"/>
          <w:sz w:val="21"/>
          <w:szCs w:val="21"/>
        </w:rPr>
        <w:footnoteReference w:id="3"/>
      </w:r>
      <w:r w:rsidRPr="00A840F1">
        <w:rPr>
          <w:rFonts w:cstheme="minorHAnsi"/>
          <w:color w:val="auto"/>
          <w:sz w:val="21"/>
          <w:szCs w:val="21"/>
        </w:rPr>
        <w:t xml:space="preserve"> </w:t>
      </w:r>
    </w:p>
    <w:p w14:paraId="7FB662A8" w14:textId="77777777" w:rsidR="00975343" w:rsidRPr="00A840F1" w:rsidRDefault="00975343" w:rsidP="00A840F1">
      <w:pPr>
        <w:spacing w:before="0" w:after="0"/>
        <w:ind w:left="284"/>
        <w:jc w:val="both"/>
        <w:rPr>
          <w:rFonts w:cstheme="minorHAnsi"/>
          <w:color w:val="auto"/>
          <w:sz w:val="21"/>
          <w:szCs w:val="21"/>
        </w:rPr>
      </w:pPr>
    </w:p>
    <w:p w14:paraId="12F3D373" w14:textId="77777777" w:rsidR="00975343" w:rsidRPr="00A840F1" w:rsidRDefault="00975343" w:rsidP="00A840F1">
      <w:pPr>
        <w:pStyle w:val="Default"/>
        <w:ind w:left="284"/>
        <w:jc w:val="both"/>
        <w:rPr>
          <w:rFonts w:asciiTheme="minorHAnsi" w:hAnsiTheme="minorHAnsi" w:cstheme="minorHAnsi"/>
          <w:color w:val="auto"/>
          <w:sz w:val="21"/>
          <w:szCs w:val="21"/>
        </w:rPr>
      </w:pPr>
      <w:r w:rsidRPr="00A840F1">
        <w:rPr>
          <w:rFonts w:asciiTheme="minorHAnsi" w:hAnsiTheme="minorHAnsi" w:cstheme="minorHAnsi"/>
          <w:color w:val="auto"/>
          <w:sz w:val="21"/>
          <w:szCs w:val="21"/>
        </w:rPr>
        <w:t>“In terms of classroom environments, relations between students and teachers are positive overall, with 97% of teachers in Romania agreeing that students and teachers usually get on well with each other. However, 13% of principals report regular acts of intimidation or bullying among their students, which is not significantly different from the OECD average (14%).”</w:t>
      </w:r>
      <w:r w:rsidRPr="00A840F1">
        <w:rPr>
          <w:rStyle w:val="FootnoteReference"/>
          <w:rFonts w:asciiTheme="minorHAnsi" w:hAnsiTheme="minorHAnsi" w:cstheme="minorHAnsi"/>
          <w:color w:val="auto"/>
          <w:sz w:val="21"/>
          <w:szCs w:val="21"/>
        </w:rPr>
        <w:footnoteReference w:id="4"/>
      </w:r>
      <w:r w:rsidRPr="00A840F1">
        <w:rPr>
          <w:rFonts w:asciiTheme="minorHAnsi" w:hAnsiTheme="minorHAnsi" w:cstheme="minorHAnsi"/>
          <w:color w:val="auto"/>
          <w:sz w:val="21"/>
          <w:szCs w:val="21"/>
        </w:rPr>
        <w:t xml:space="preserve"> </w:t>
      </w:r>
    </w:p>
    <w:p w14:paraId="2F03A58A" w14:textId="77777777" w:rsidR="00975343" w:rsidRPr="00A840F1" w:rsidRDefault="00975343" w:rsidP="00A840F1">
      <w:pPr>
        <w:pStyle w:val="Default"/>
        <w:ind w:left="284"/>
        <w:jc w:val="both"/>
        <w:rPr>
          <w:rFonts w:asciiTheme="minorHAnsi" w:hAnsiTheme="minorHAnsi" w:cstheme="minorHAnsi"/>
          <w:color w:val="auto"/>
          <w:sz w:val="21"/>
          <w:szCs w:val="21"/>
        </w:rPr>
      </w:pPr>
    </w:p>
    <w:p w14:paraId="39F272E7" w14:textId="77777777" w:rsidR="00975343" w:rsidRDefault="00975343" w:rsidP="00A840F1">
      <w:pPr>
        <w:pStyle w:val="Default"/>
        <w:ind w:left="142"/>
        <w:jc w:val="both"/>
        <w:rPr>
          <w:rFonts w:asciiTheme="minorHAnsi" w:hAnsiTheme="minorHAnsi" w:cstheme="minorHAnsi"/>
          <w:color w:val="auto"/>
          <w:sz w:val="21"/>
          <w:szCs w:val="21"/>
        </w:rPr>
      </w:pPr>
      <w:r w:rsidRPr="00A840F1">
        <w:rPr>
          <w:rFonts w:asciiTheme="minorHAnsi" w:hAnsiTheme="minorHAnsi" w:cstheme="minorHAnsi"/>
          <w:color w:val="auto"/>
          <w:sz w:val="21"/>
          <w:szCs w:val="21"/>
        </w:rPr>
        <w:t>Percentages of school principals who mention the following aspects to represent obstacles to quality instruction – TALIS 2018 edition, comparison between the EU average and Romania.</w:t>
      </w:r>
      <w:r w:rsidRPr="00A840F1">
        <w:rPr>
          <w:rStyle w:val="FootnoteReference"/>
          <w:rFonts w:asciiTheme="minorHAnsi" w:hAnsiTheme="minorHAnsi" w:cstheme="minorHAnsi"/>
          <w:color w:val="auto"/>
          <w:sz w:val="21"/>
          <w:szCs w:val="21"/>
        </w:rPr>
        <w:footnoteReference w:id="5"/>
      </w:r>
    </w:p>
    <w:p w14:paraId="252EE49B" w14:textId="77777777" w:rsidR="00A840F1" w:rsidRPr="00A840F1" w:rsidRDefault="00A840F1" w:rsidP="00A840F1">
      <w:pPr>
        <w:pStyle w:val="Default"/>
        <w:ind w:left="284"/>
        <w:jc w:val="both"/>
        <w:rPr>
          <w:rFonts w:asciiTheme="minorHAnsi" w:hAnsiTheme="minorHAnsi" w:cstheme="minorHAnsi"/>
          <w:color w:val="auto"/>
          <w:sz w:val="21"/>
          <w:szCs w:val="21"/>
        </w:rPr>
      </w:pPr>
    </w:p>
    <w:tbl>
      <w:tblPr>
        <w:tblStyle w:val="TableGrid"/>
        <w:tblW w:w="0" w:type="auto"/>
        <w:tblInd w:w="137" w:type="dxa"/>
        <w:tblLook w:val="04A0" w:firstRow="1" w:lastRow="0" w:firstColumn="1" w:lastColumn="0" w:noHBand="0" w:noVBand="1"/>
      </w:tblPr>
      <w:tblGrid>
        <w:gridCol w:w="1336"/>
        <w:gridCol w:w="1643"/>
        <w:gridCol w:w="1753"/>
        <w:gridCol w:w="1558"/>
        <w:gridCol w:w="1559"/>
        <w:gridCol w:w="1559"/>
      </w:tblGrid>
      <w:tr w:rsidR="00A840F1" w:rsidRPr="007F053F" w14:paraId="773E8BBF" w14:textId="77777777" w:rsidTr="00A840F1">
        <w:tc>
          <w:tcPr>
            <w:tcW w:w="1336" w:type="dxa"/>
          </w:tcPr>
          <w:p w14:paraId="1304DC3D" w14:textId="77777777" w:rsidR="00A840F1" w:rsidRPr="00A840F1" w:rsidRDefault="00A840F1" w:rsidP="00A840F1">
            <w:pPr>
              <w:spacing w:before="0" w:after="0"/>
              <w:rPr>
                <w:rFonts w:cstheme="minorHAnsi"/>
                <w:color w:val="auto"/>
              </w:rPr>
            </w:pPr>
          </w:p>
        </w:tc>
        <w:tc>
          <w:tcPr>
            <w:tcW w:w="1643" w:type="dxa"/>
          </w:tcPr>
          <w:p w14:paraId="3C81C00A" w14:textId="77777777" w:rsidR="00A840F1" w:rsidRPr="00A840F1" w:rsidRDefault="00A840F1" w:rsidP="00A840F1">
            <w:pPr>
              <w:spacing w:before="0" w:after="0"/>
              <w:jc w:val="left"/>
              <w:rPr>
                <w:rFonts w:cstheme="minorHAnsi"/>
                <w:color w:val="auto"/>
              </w:rPr>
            </w:pPr>
            <w:r w:rsidRPr="00A840F1">
              <w:rPr>
                <w:rFonts w:cstheme="minorHAnsi"/>
                <w:color w:val="auto"/>
              </w:rPr>
              <w:t>Shortage of qualified teachers</w:t>
            </w:r>
          </w:p>
        </w:tc>
        <w:tc>
          <w:tcPr>
            <w:tcW w:w="1753" w:type="dxa"/>
          </w:tcPr>
          <w:p w14:paraId="58B11C18" w14:textId="77777777" w:rsidR="00A840F1" w:rsidRPr="00A840F1" w:rsidRDefault="00A840F1" w:rsidP="00A840F1">
            <w:pPr>
              <w:spacing w:before="0" w:after="0"/>
              <w:jc w:val="left"/>
              <w:rPr>
                <w:rFonts w:cstheme="minorHAnsi"/>
                <w:color w:val="auto"/>
              </w:rPr>
            </w:pPr>
            <w:r w:rsidRPr="00A840F1">
              <w:rPr>
                <w:rFonts w:cstheme="minorHAnsi"/>
                <w:color w:val="auto"/>
              </w:rPr>
              <w:t xml:space="preserve">Shortage of teachers with competence in teaching students with special needs </w:t>
            </w:r>
          </w:p>
        </w:tc>
        <w:tc>
          <w:tcPr>
            <w:tcW w:w="1558" w:type="dxa"/>
          </w:tcPr>
          <w:p w14:paraId="1D8FA41B" w14:textId="77777777" w:rsidR="00A840F1" w:rsidRPr="00A840F1" w:rsidRDefault="00A840F1" w:rsidP="00A840F1">
            <w:pPr>
              <w:spacing w:before="0" w:after="0"/>
              <w:jc w:val="left"/>
              <w:rPr>
                <w:rFonts w:cstheme="minorHAnsi"/>
                <w:color w:val="auto"/>
              </w:rPr>
            </w:pPr>
            <w:r w:rsidRPr="00A840F1">
              <w:rPr>
                <w:rFonts w:cstheme="minorHAnsi"/>
                <w:color w:val="auto"/>
              </w:rPr>
              <w:t>Shortage of vocational</w:t>
            </w:r>
          </w:p>
          <w:p w14:paraId="2A975C0D" w14:textId="77777777" w:rsidR="00A840F1" w:rsidRPr="00A840F1" w:rsidRDefault="00A840F1" w:rsidP="00A840F1">
            <w:pPr>
              <w:spacing w:before="0" w:after="0"/>
              <w:jc w:val="left"/>
              <w:rPr>
                <w:rFonts w:cstheme="minorHAnsi"/>
                <w:color w:val="auto"/>
              </w:rPr>
            </w:pPr>
            <w:r w:rsidRPr="00A840F1">
              <w:rPr>
                <w:rFonts w:cstheme="minorHAnsi"/>
                <w:color w:val="auto"/>
              </w:rPr>
              <w:t>teachers</w:t>
            </w:r>
          </w:p>
        </w:tc>
        <w:tc>
          <w:tcPr>
            <w:tcW w:w="1559" w:type="dxa"/>
          </w:tcPr>
          <w:p w14:paraId="0BB33A10" w14:textId="77777777" w:rsidR="00A840F1" w:rsidRPr="00A840F1" w:rsidRDefault="00A840F1" w:rsidP="00A840F1">
            <w:pPr>
              <w:spacing w:before="0" w:after="0"/>
              <w:jc w:val="left"/>
              <w:rPr>
                <w:rFonts w:cstheme="minorHAnsi"/>
                <w:color w:val="auto"/>
              </w:rPr>
            </w:pPr>
            <w:r w:rsidRPr="00A840F1">
              <w:rPr>
                <w:rFonts w:cstheme="minorHAnsi"/>
                <w:color w:val="auto"/>
              </w:rPr>
              <w:t>Shortage of teachers with competence in teaching students in multicultural or multilingual settings</w:t>
            </w:r>
          </w:p>
        </w:tc>
        <w:tc>
          <w:tcPr>
            <w:tcW w:w="1559" w:type="dxa"/>
          </w:tcPr>
          <w:p w14:paraId="75C73B65" w14:textId="77777777" w:rsidR="00A840F1" w:rsidRPr="00A840F1" w:rsidRDefault="00A840F1" w:rsidP="00A840F1">
            <w:pPr>
              <w:spacing w:before="0" w:after="0"/>
              <w:jc w:val="left"/>
              <w:rPr>
                <w:rFonts w:cstheme="minorHAnsi"/>
                <w:color w:val="auto"/>
              </w:rPr>
            </w:pPr>
            <w:r w:rsidRPr="00A840F1">
              <w:rPr>
                <w:rFonts w:cstheme="minorHAnsi"/>
                <w:color w:val="auto"/>
              </w:rPr>
              <w:t>Shortage of teachers with competence in teaching students from socio-economically disadvantaged homes</w:t>
            </w:r>
          </w:p>
        </w:tc>
      </w:tr>
      <w:tr w:rsidR="00A840F1" w:rsidRPr="007F053F" w14:paraId="490D6F8F" w14:textId="77777777" w:rsidTr="00A840F1">
        <w:tc>
          <w:tcPr>
            <w:tcW w:w="1336" w:type="dxa"/>
          </w:tcPr>
          <w:p w14:paraId="35841A8B" w14:textId="77777777" w:rsidR="00A840F1" w:rsidRPr="00A840F1" w:rsidRDefault="00A840F1" w:rsidP="00A840F1">
            <w:pPr>
              <w:spacing w:before="0" w:after="0"/>
              <w:rPr>
                <w:rFonts w:cstheme="minorHAnsi"/>
                <w:color w:val="auto"/>
              </w:rPr>
            </w:pPr>
            <w:r w:rsidRPr="00A840F1">
              <w:rPr>
                <w:rFonts w:cstheme="minorHAnsi"/>
                <w:color w:val="auto"/>
              </w:rPr>
              <w:t>EU average</w:t>
            </w:r>
          </w:p>
        </w:tc>
        <w:tc>
          <w:tcPr>
            <w:tcW w:w="1643" w:type="dxa"/>
          </w:tcPr>
          <w:p w14:paraId="27FB1F96" w14:textId="77777777" w:rsidR="00A840F1" w:rsidRPr="00A840F1" w:rsidRDefault="00A840F1" w:rsidP="00A840F1">
            <w:pPr>
              <w:spacing w:before="0" w:after="0"/>
              <w:jc w:val="center"/>
              <w:rPr>
                <w:rFonts w:cstheme="minorHAnsi"/>
                <w:color w:val="auto"/>
              </w:rPr>
            </w:pPr>
            <w:r w:rsidRPr="00A840F1">
              <w:rPr>
                <w:rFonts w:cstheme="minorHAnsi"/>
                <w:color w:val="auto"/>
              </w:rPr>
              <w:t>24.6 %</w:t>
            </w:r>
          </w:p>
        </w:tc>
        <w:tc>
          <w:tcPr>
            <w:tcW w:w="1753" w:type="dxa"/>
          </w:tcPr>
          <w:p w14:paraId="67F79635" w14:textId="77777777" w:rsidR="00A840F1" w:rsidRPr="00A840F1" w:rsidRDefault="00A840F1" w:rsidP="00A840F1">
            <w:pPr>
              <w:spacing w:before="0" w:after="0"/>
              <w:jc w:val="center"/>
              <w:rPr>
                <w:rFonts w:cstheme="minorHAnsi"/>
                <w:color w:val="auto"/>
              </w:rPr>
            </w:pPr>
            <w:r w:rsidRPr="00A840F1">
              <w:rPr>
                <w:rFonts w:cstheme="minorHAnsi"/>
                <w:color w:val="auto"/>
              </w:rPr>
              <w:t>37.8 %</w:t>
            </w:r>
          </w:p>
        </w:tc>
        <w:tc>
          <w:tcPr>
            <w:tcW w:w="1558" w:type="dxa"/>
          </w:tcPr>
          <w:p w14:paraId="204A4B7E" w14:textId="77777777" w:rsidR="00A840F1" w:rsidRPr="00A840F1" w:rsidRDefault="00A840F1" w:rsidP="00A840F1">
            <w:pPr>
              <w:spacing w:before="0" w:after="0"/>
              <w:jc w:val="center"/>
              <w:rPr>
                <w:rFonts w:cstheme="minorHAnsi"/>
                <w:color w:val="auto"/>
              </w:rPr>
            </w:pPr>
            <w:r w:rsidRPr="00A840F1">
              <w:rPr>
                <w:rFonts w:cstheme="minorHAnsi"/>
                <w:color w:val="auto"/>
              </w:rPr>
              <w:t>16.4 %</w:t>
            </w:r>
          </w:p>
        </w:tc>
        <w:tc>
          <w:tcPr>
            <w:tcW w:w="1559" w:type="dxa"/>
          </w:tcPr>
          <w:p w14:paraId="5D3EEB40" w14:textId="77777777" w:rsidR="00A840F1" w:rsidRPr="00A840F1" w:rsidRDefault="00A840F1" w:rsidP="00A840F1">
            <w:pPr>
              <w:spacing w:before="0" w:after="0"/>
              <w:jc w:val="center"/>
              <w:rPr>
                <w:rFonts w:cstheme="minorHAnsi"/>
                <w:color w:val="auto"/>
              </w:rPr>
            </w:pPr>
            <w:r w:rsidRPr="00A840F1">
              <w:rPr>
                <w:rFonts w:cstheme="minorHAnsi"/>
                <w:color w:val="auto"/>
              </w:rPr>
              <w:t>23.5 %</w:t>
            </w:r>
          </w:p>
        </w:tc>
        <w:tc>
          <w:tcPr>
            <w:tcW w:w="1559" w:type="dxa"/>
          </w:tcPr>
          <w:p w14:paraId="51D3E538" w14:textId="77777777" w:rsidR="00A840F1" w:rsidRPr="00A840F1" w:rsidRDefault="00A840F1" w:rsidP="00A840F1">
            <w:pPr>
              <w:spacing w:before="0" w:after="0"/>
              <w:jc w:val="center"/>
              <w:rPr>
                <w:rFonts w:cstheme="minorHAnsi"/>
                <w:color w:val="auto"/>
              </w:rPr>
            </w:pPr>
            <w:r w:rsidRPr="00A840F1">
              <w:rPr>
                <w:rFonts w:cstheme="minorHAnsi"/>
                <w:color w:val="auto"/>
              </w:rPr>
              <w:t>24.2 %</w:t>
            </w:r>
          </w:p>
        </w:tc>
      </w:tr>
      <w:tr w:rsidR="00A840F1" w:rsidRPr="007F053F" w14:paraId="13282DE1" w14:textId="77777777" w:rsidTr="00A840F1">
        <w:tc>
          <w:tcPr>
            <w:tcW w:w="1336" w:type="dxa"/>
          </w:tcPr>
          <w:p w14:paraId="237D8F1A" w14:textId="77777777" w:rsidR="00A840F1" w:rsidRPr="00A840F1" w:rsidRDefault="00A840F1" w:rsidP="00A840F1">
            <w:pPr>
              <w:spacing w:before="0" w:after="0"/>
              <w:rPr>
                <w:rFonts w:cstheme="minorHAnsi"/>
                <w:color w:val="auto"/>
              </w:rPr>
            </w:pPr>
            <w:r w:rsidRPr="00A840F1">
              <w:rPr>
                <w:rFonts w:cstheme="minorHAnsi"/>
                <w:color w:val="auto"/>
              </w:rPr>
              <w:t>Romania</w:t>
            </w:r>
          </w:p>
        </w:tc>
        <w:tc>
          <w:tcPr>
            <w:tcW w:w="1643" w:type="dxa"/>
          </w:tcPr>
          <w:p w14:paraId="22E79D3B" w14:textId="77777777" w:rsidR="00A840F1" w:rsidRPr="00A840F1" w:rsidRDefault="00A840F1" w:rsidP="00A840F1">
            <w:pPr>
              <w:spacing w:before="0" w:after="0"/>
              <w:jc w:val="center"/>
              <w:rPr>
                <w:rFonts w:cstheme="minorHAnsi"/>
                <w:color w:val="auto"/>
              </w:rPr>
            </w:pPr>
            <w:r w:rsidRPr="00A840F1">
              <w:rPr>
                <w:rFonts w:cstheme="minorHAnsi"/>
                <w:color w:val="auto"/>
              </w:rPr>
              <w:t xml:space="preserve">32.6 % </w:t>
            </w:r>
          </w:p>
        </w:tc>
        <w:tc>
          <w:tcPr>
            <w:tcW w:w="1753" w:type="dxa"/>
          </w:tcPr>
          <w:p w14:paraId="2A87B089" w14:textId="77777777" w:rsidR="00A840F1" w:rsidRPr="00A840F1" w:rsidRDefault="00A840F1" w:rsidP="00A840F1">
            <w:pPr>
              <w:spacing w:before="0" w:after="0"/>
              <w:jc w:val="center"/>
              <w:rPr>
                <w:rFonts w:cstheme="minorHAnsi"/>
                <w:color w:val="auto"/>
              </w:rPr>
            </w:pPr>
            <w:r w:rsidRPr="00A840F1">
              <w:rPr>
                <w:rFonts w:cstheme="minorHAnsi"/>
                <w:color w:val="auto"/>
              </w:rPr>
              <w:t xml:space="preserve">45.1 % </w:t>
            </w:r>
          </w:p>
        </w:tc>
        <w:tc>
          <w:tcPr>
            <w:tcW w:w="1558" w:type="dxa"/>
          </w:tcPr>
          <w:p w14:paraId="328C31EA" w14:textId="77777777" w:rsidR="00A840F1" w:rsidRPr="00A840F1" w:rsidRDefault="00A840F1" w:rsidP="00A840F1">
            <w:pPr>
              <w:spacing w:before="0" w:after="0"/>
              <w:jc w:val="center"/>
              <w:rPr>
                <w:rFonts w:cstheme="minorHAnsi"/>
                <w:color w:val="auto"/>
              </w:rPr>
            </w:pPr>
            <w:r w:rsidRPr="00A840F1">
              <w:rPr>
                <w:rFonts w:cstheme="minorHAnsi"/>
                <w:color w:val="auto"/>
              </w:rPr>
              <w:t>33.4 %</w:t>
            </w:r>
          </w:p>
        </w:tc>
        <w:tc>
          <w:tcPr>
            <w:tcW w:w="1559" w:type="dxa"/>
          </w:tcPr>
          <w:p w14:paraId="4763B60C" w14:textId="77777777" w:rsidR="00A840F1" w:rsidRPr="00A840F1" w:rsidRDefault="00A840F1" w:rsidP="00A840F1">
            <w:pPr>
              <w:spacing w:before="0" w:after="0"/>
              <w:jc w:val="center"/>
              <w:rPr>
                <w:rFonts w:cstheme="minorHAnsi"/>
                <w:color w:val="auto"/>
              </w:rPr>
            </w:pPr>
            <w:r w:rsidRPr="00A840F1">
              <w:rPr>
                <w:rFonts w:cstheme="minorHAnsi"/>
                <w:color w:val="auto"/>
              </w:rPr>
              <w:t>21.9 %</w:t>
            </w:r>
          </w:p>
        </w:tc>
        <w:tc>
          <w:tcPr>
            <w:tcW w:w="1559" w:type="dxa"/>
          </w:tcPr>
          <w:p w14:paraId="574BD49B" w14:textId="77777777" w:rsidR="00A840F1" w:rsidRPr="00A840F1" w:rsidRDefault="00A840F1" w:rsidP="00A840F1">
            <w:pPr>
              <w:spacing w:before="0" w:after="0"/>
              <w:jc w:val="center"/>
              <w:rPr>
                <w:rFonts w:cstheme="minorHAnsi"/>
                <w:color w:val="auto"/>
              </w:rPr>
            </w:pPr>
            <w:r w:rsidRPr="00A840F1">
              <w:rPr>
                <w:rFonts w:cstheme="minorHAnsi"/>
                <w:color w:val="auto"/>
              </w:rPr>
              <w:t>27 %</w:t>
            </w:r>
          </w:p>
        </w:tc>
      </w:tr>
    </w:tbl>
    <w:p w14:paraId="0774D5FA" w14:textId="77777777" w:rsidR="00A840F1" w:rsidRDefault="00A840F1" w:rsidP="00A840F1">
      <w:pPr>
        <w:pStyle w:val="ListParagraph"/>
        <w:spacing w:after="0" w:line="240" w:lineRule="auto"/>
        <w:ind w:left="0"/>
        <w:jc w:val="both"/>
        <w:rPr>
          <w:rFonts w:cstheme="minorHAnsi"/>
          <w:b/>
          <w:sz w:val="21"/>
          <w:szCs w:val="21"/>
        </w:rPr>
      </w:pPr>
    </w:p>
    <w:p w14:paraId="28418501" w14:textId="77777777" w:rsidR="00A840F1" w:rsidRPr="00A840F1" w:rsidRDefault="00A840F1" w:rsidP="00A840F1">
      <w:pPr>
        <w:pStyle w:val="ListParagraph"/>
        <w:spacing w:after="0" w:line="240" w:lineRule="auto"/>
        <w:ind w:left="0"/>
        <w:jc w:val="both"/>
        <w:rPr>
          <w:rFonts w:cstheme="minorHAnsi"/>
          <w:sz w:val="21"/>
          <w:szCs w:val="21"/>
        </w:rPr>
      </w:pPr>
      <w:r w:rsidRPr="00A840F1">
        <w:rPr>
          <w:rFonts w:cstheme="minorHAnsi"/>
          <w:b/>
          <w:sz w:val="21"/>
          <w:szCs w:val="21"/>
        </w:rPr>
        <w:t>Eurostat</w:t>
      </w:r>
      <w:r w:rsidRPr="00A840F1">
        <w:rPr>
          <w:rFonts w:cstheme="minorHAnsi"/>
          <w:sz w:val="21"/>
          <w:szCs w:val="21"/>
        </w:rPr>
        <w:t xml:space="preserve"> is a useful resource for EU-level comparative data on various aspects of education. The following section is built on recent data made available by Eurostat on early school leaving and indicators regarding youth transition from education to the labor market. </w:t>
      </w:r>
    </w:p>
    <w:p w14:paraId="74983F24" w14:textId="77777777" w:rsidR="00A840F1" w:rsidRPr="00A840F1" w:rsidRDefault="00A840F1" w:rsidP="00A840F1">
      <w:pPr>
        <w:pStyle w:val="ListParagraph"/>
        <w:spacing w:after="0" w:line="240" w:lineRule="auto"/>
        <w:ind w:left="0"/>
        <w:jc w:val="both"/>
        <w:rPr>
          <w:rFonts w:cstheme="minorHAnsi"/>
          <w:sz w:val="21"/>
          <w:szCs w:val="21"/>
        </w:rPr>
      </w:pPr>
    </w:p>
    <w:p w14:paraId="0FBB48BC" w14:textId="77777777" w:rsidR="00A840F1" w:rsidRDefault="00A840F1" w:rsidP="00A840F1">
      <w:pPr>
        <w:pStyle w:val="ListParagraph"/>
        <w:spacing w:after="0" w:line="240" w:lineRule="auto"/>
        <w:ind w:left="0"/>
        <w:jc w:val="both"/>
        <w:rPr>
          <w:rFonts w:cstheme="minorHAnsi"/>
          <w:sz w:val="21"/>
          <w:szCs w:val="21"/>
        </w:rPr>
      </w:pPr>
      <w:r w:rsidRPr="00A840F1">
        <w:rPr>
          <w:rFonts w:cstheme="minorHAnsi"/>
          <w:sz w:val="21"/>
          <w:szCs w:val="21"/>
        </w:rPr>
        <w:t xml:space="preserve">In EU context, Romania is still in an unfavorable situation with regard to the rate of early school leaving (the percentage of young people aged </w:t>
      </w:r>
      <w:r w:rsidRPr="00A840F1">
        <w:rPr>
          <w:rFonts w:cstheme="minorHAnsi"/>
          <w:b/>
          <w:sz w:val="21"/>
          <w:szCs w:val="21"/>
        </w:rPr>
        <w:t>18-24</w:t>
      </w:r>
      <w:r w:rsidRPr="00A840F1">
        <w:rPr>
          <w:rFonts w:cstheme="minorHAnsi"/>
          <w:sz w:val="21"/>
          <w:szCs w:val="21"/>
        </w:rPr>
        <w:t xml:space="preserve"> having completed at most lower secondary education and no longer in education or training). Below the values from 2018 and 2019 are shown in comparison with the EU average.</w:t>
      </w:r>
      <w:r w:rsidRPr="00A840F1">
        <w:rPr>
          <w:rStyle w:val="FootnoteReference"/>
          <w:rFonts w:cstheme="minorHAnsi"/>
          <w:sz w:val="21"/>
          <w:szCs w:val="21"/>
        </w:rPr>
        <w:footnoteReference w:id="6"/>
      </w:r>
      <w:r w:rsidRPr="00A840F1">
        <w:rPr>
          <w:rFonts w:cstheme="minorHAnsi"/>
          <w:sz w:val="21"/>
          <w:szCs w:val="21"/>
        </w:rPr>
        <w:t xml:space="preserve"> </w:t>
      </w:r>
    </w:p>
    <w:p w14:paraId="1EE20321" w14:textId="77777777" w:rsidR="00A840F1" w:rsidRPr="00A840F1" w:rsidRDefault="00A840F1" w:rsidP="00A840F1">
      <w:pPr>
        <w:pStyle w:val="ListParagraph"/>
        <w:spacing w:after="0" w:line="240" w:lineRule="auto"/>
        <w:ind w:left="0"/>
        <w:jc w:val="both"/>
        <w:rPr>
          <w:rFonts w:cstheme="minorHAnsi"/>
          <w:sz w:val="21"/>
          <w:szCs w:val="21"/>
        </w:rPr>
      </w:pPr>
    </w:p>
    <w:p w14:paraId="5F9ED09E" w14:textId="77777777" w:rsidR="00A840F1" w:rsidRPr="00A840F1" w:rsidRDefault="00A840F1" w:rsidP="00A840F1">
      <w:pPr>
        <w:spacing w:before="0" w:after="0"/>
        <w:rPr>
          <w:rFonts w:asciiTheme="minorHAnsi" w:hAnsiTheme="minorHAnsi" w:cstheme="minorHAnsi"/>
          <w:color w:val="auto"/>
          <w:sz w:val="21"/>
          <w:szCs w:val="21"/>
          <w:lang w:val="ro-RO"/>
        </w:rPr>
      </w:pPr>
    </w:p>
    <w:tbl>
      <w:tblPr>
        <w:tblStyle w:val="TableGrid"/>
        <w:tblW w:w="0" w:type="auto"/>
        <w:tblInd w:w="250" w:type="dxa"/>
        <w:tblLook w:val="04A0" w:firstRow="1" w:lastRow="0" w:firstColumn="1" w:lastColumn="0" w:noHBand="0" w:noVBand="1"/>
      </w:tblPr>
      <w:tblGrid>
        <w:gridCol w:w="2866"/>
        <w:gridCol w:w="3117"/>
        <w:gridCol w:w="3373"/>
      </w:tblGrid>
      <w:tr w:rsidR="00A840F1" w:rsidRPr="00A840F1" w14:paraId="78225B1B" w14:textId="77777777" w:rsidTr="00D37FC3">
        <w:tc>
          <w:tcPr>
            <w:tcW w:w="2866" w:type="dxa"/>
          </w:tcPr>
          <w:p w14:paraId="6AB6301D" w14:textId="77777777" w:rsidR="00A840F1" w:rsidRPr="00A840F1" w:rsidRDefault="00A840F1" w:rsidP="00A840F1">
            <w:pPr>
              <w:spacing w:before="0" w:after="0"/>
              <w:rPr>
                <w:rFonts w:asciiTheme="minorHAnsi" w:hAnsiTheme="minorHAnsi" w:cstheme="minorHAnsi"/>
                <w:color w:val="auto"/>
                <w:sz w:val="21"/>
                <w:szCs w:val="21"/>
              </w:rPr>
            </w:pPr>
          </w:p>
        </w:tc>
        <w:tc>
          <w:tcPr>
            <w:tcW w:w="3117" w:type="dxa"/>
          </w:tcPr>
          <w:p w14:paraId="6A60A5E5"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Romania</w:t>
            </w:r>
          </w:p>
        </w:tc>
        <w:tc>
          <w:tcPr>
            <w:tcW w:w="3373" w:type="dxa"/>
          </w:tcPr>
          <w:p w14:paraId="18C92879"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EU</w:t>
            </w:r>
          </w:p>
        </w:tc>
      </w:tr>
      <w:tr w:rsidR="00A840F1" w:rsidRPr="00A840F1" w14:paraId="762694C5" w14:textId="77777777" w:rsidTr="00D37FC3">
        <w:tc>
          <w:tcPr>
            <w:tcW w:w="2866" w:type="dxa"/>
          </w:tcPr>
          <w:p w14:paraId="590E2101" w14:textId="77777777" w:rsidR="00A840F1" w:rsidRPr="00A840F1" w:rsidRDefault="00D37FC3" w:rsidP="00D37FC3">
            <w:pPr>
              <w:spacing w:before="0" w:after="0"/>
              <w:ind w:left="-102"/>
              <w:jc w:val="center"/>
              <w:rPr>
                <w:rFonts w:asciiTheme="minorHAnsi" w:hAnsiTheme="minorHAnsi" w:cstheme="minorHAnsi"/>
                <w:color w:val="auto"/>
                <w:sz w:val="21"/>
                <w:szCs w:val="21"/>
              </w:rPr>
            </w:pPr>
            <w:r>
              <w:rPr>
                <w:rFonts w:asciiTheme="minorHAnsi" w:hAnsiTheme="minorHAnsi" w:cstheme="minorHAnsi"/>
                <w:color w:val="auto"/>
                <w:sz w:val="21"/>
                <w:szCs w:val="21"/>
              </w:rPr>
              <w:t xml:space="preserve"> </w:t>
            </w:r>
            <w:r w:rsidR="00A840F1" w:rsidRPr="00A840F1">
              <w:rPr>
                <w:rFonts w:asciiTheme="minorHAnsi" w:hAnsiTheme="minorHAnsi" w:cstheme="minorHAnsi"/>
                <w:color w:val="auto"/>
                <w:sz w:val="21"/>
                <w:szCs w:val="21"/>
              </w:rPr>
              <w:t>2018</w:t>
            </w:r>
          </w:p>
        </w:tc>
        <w:tc>
          <w:tcPr>
            <w:tcW w:w="3117" w:type="dxa"/>
          </w:tcPr>
          <w:p w14:paraId="0E15097E"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16.4%</w:t>
            </w:r>
          </w:p>
        </w:tc>
        <w:tc>
          <w:tcPr>
            <w:tcW w:w="3373" w:type="dxa"/>
          </w:tcPr>
          <w:p w14:paraId="5819F05A"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10.6 %</w:t>
            </w:r>
          </w:p>
        </w:tc>
      </w:tr>
      <w:tr w:rsidR="00A840F1" w:rsidRPr="00A840F1" w14:paraId="6EE91BCD" w14:textId="77777777" w:rsidTr="00D37FC3">
        <w:tc>
          <w:tcPr>
            <w:tcW w:w="2866" w:type="dxa"/>
          </w:tcPr>
          <w:p w14:paraId="41262EDF" w14:textId="77777777" w:rsidR="00A840F1" w:rsidRPr="00A840F1" w:rsidRDefault="00A840F1" w:rsidP="00D37FC3">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2019</w:t>
            </w:r>
          </w:p>
        </w:tc>
        <w:tc>
          <w:tcPr>
            <w:tcW w:w="3117" w:type="dxa"/>
          </w:tcPr>
          <w:p w14:paraId="70E0EAAA"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15.3%</w:t>
            </w:r>
          </w:p>
        </w:tc>
        <w:tc>
          <w:tcPr>
            <w:tcW w:w="3373" w:type="dxa"/>
          </w:tcPr>
          <w:p w14:paraId="7F976ACC"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10.2%</w:t>
            </w:r>
          </w:p>
        </w:tc>
      </w:tr>
    </w:tbl>
    <w:p w14:paraId="7FDC85E0" w14:textId="77777777" w:rsidR="00A840F1" w:rsidRPr="00A840F1" w:rsidRDefault="00A840F1" w:rsidP="00A840F1">
      <w:pPr>
        <w:spacing w:before="0" w:after="0"/>
        <w:rPr>
          <w:rFonts w:asciiTheme="minorHAnsi" w:hAnsiTheme="minorHAnsi" w:cstheme="minorHAnsi"/>
          <w:color w:val="auto"/>
          <w:sz w:val="21"/>
          <w:szCs w:val="21"/>
          <w:lang w:val="ro-RO"/>
        </w:rPr>
      </w:pPr>
    </w:p>
    <w:p w14:paraId="4A08CCB3" w14:textId="77777777" w:rsidR="00712EC0" w:rsidRDefault="00712EC0" w:rsidP="00A840F1">
      <w:pPr>
        <w:spacing w:before="0" w:after="0"/>
        <w:jc w:val="both"/>
        <w:rPr>
          <w:rFonts w:asciiTheme="minorHAnsi" w:hAnsiTheme="minorHAnsi" w:cstheme="minorHAnsi"/>
          <w:color w:val="auto"/>
          <w:sz w:val="21"/>
          <w:szCs w:val="21"/>
        </w:rPr>
      </w:pPr>
    </w:p>
    <w:p w14:paraId="4EA1BF46" w14:textId="77777777" w:rsidR="00712EC0" w:rsidRDefault="00712EC0" w:rsidP="00A840F1">
      <w:pPr>
        <w:spacing w:before="0" w:after="0"/>
        <w:jc w:val="both"/>
        <w:rPr>
          <w:rFonts w:asciiTheme="minorHAnsi" w:hAnsiTheme="minorHAnsi" w:cstheme="minorHAnsi"/>
          <w:color w:val="auto"/>
          <w:sz w:val="21"/>
          <w:szCs w:val="21"/>
        </w:rPr>
      </w:pPr>
    </w:p>
    <w:p w14:paraId="2E33CEE0" w14:textId="77777777" w:rsidR="00712EC0" w:rsidRDefault="00712EC0" w:rsidP="00A840F1">
      <w:pPr>
        <w:spacing w:before="0" w:after="0"/>
        <w:jc w:val="both"/>
        <w:rPr>
          <w:rFonts w:asciiTheme="minorHAnsi" w:hAnsiTheme="minorHAnsi" w:cstheme="minorHAnsi"/>
          <w:color w:val="auto"/>
          <w:sz w:val="21"/>
          <w:szCs w:val="21"/>
        </w:rPr>
      </w:pPr>
    </w:p>
    <w:p w14:paraId="1494372D" w14:textId="77777777" w:rsidR="00A840F1" w:rsidRPr="00712EC0" w:rsidRDefault="00A840F1" w:rsidP="00A840F1">
      <w:pPr>
        <w:spacing w:before="0" w:after="0"/>
        <w:jc w:val="both"/>
        <w:rPr>
          <w:rFonts w:asciiTheme="minorHAnsi" w:hAnsiTheme="minorHAnsi" w:cstheme="minorHAnsi"/>
          <w:color w:val="auto"/>
          <w:sz w:val="21"/>
          <w:szCs w:val="21"/>
        </w:rPr>
      </w:pPr>
      <w:r w:rsidRPr="00712EC0">
        <w:rPr>
          <w:rFonts w:asciiTheme="minorHAnsi" w:hAnsiTheme="minorHAnsi" w:cstheme="minorHAnsi"/>
          <w:color w:val="auto"/>
          <w:sz w:val="21"/>
          <w:szCs w:val="21"/>
        </w:rPr>
        <w:t>More detailed information is also available in relation to the rate of early school leaving by gender and degree of urbanization, data for 2019 (see table below).</w:t>
      </w:r>
      <w:r w:rsidRPr="00712EC0">
        <w:rPr>
          <w:rStyle w:val="FootnoteReference"/>
          <w:rFonts w:asciiTheme="minorHAnsi" w:hAnsiTheme="minorHAnsi" w:cstheme="minorHAnsi"/>
          <w:color w:val="auto"/>
          <w:sz w:val="21"/>
          <w:szCs w:val="21"/>
        </w:rPr>
        <w:footnoteReference w:id="7"/>
      </w:r>
    </w:p>
    <w:p w14:paraId="15157DFC" w14:textId="77777777" w:rsidR="00A840F1" w:rsidRPr="00712EC0" w:rsidRDefault="00A840F1" w:rsidP="00A840F1">
      <w:pPr>
        <w:spacing w:before="0" w:after="0"/>
        <w:jc w:val="both"/>
        <w:rPr>
          <w:rFonts w:asciiTheme="minorHAnsi" w:hAnsiTheme="minorHAnsi" w:cstheme="minorHAnsi"/>
          <w:color w:val="auto"/>
          <w:sz w:val="21"/>
          <w:szCs w:val="21"/>
        </w:rPr>
      </w:pPr>
    </w:p>
    <w:tbl>
      <w:tblPr>
        <w:tblStyle w:val="TableGrid"/>
        <w:tblW w:w="0" w:type="auto"/>
        <w:tblInd w:w="250" w:type="dxa"/>
        <w:tblLook w:val="04A0" w:firstRow="1" w:lastRow="0" w:firstColumn="1" w:lastColumn="0" w:noHBand="0" w:noVBand="1"/>
      </w:tblPr>
      <w:tblGrid>
        <w:gridCol w:w="6266"/>
        <w:gridCol w:w="1417"/>
        <w:gridCol w:w="1673"/>
      </w:tblGrid>
      <w:tr w:rsidR="00712EC0" w:rsidRPr="00712EC0" w14:paraId="2F617334" w14:textId="77777777" w:rsidTr="00D37FC3">
        <w:tc>
          <w:tcPr>
            <w:tcW w:w="6266" w:type="dxa"/>
          </w:tcPr>
          <w:p w14:paraId="748EEEB5" w14:textId="77777777" w:rsidR="00A840F1" w:rsidRPr="00712EC0" w:rsidRDefault="00A840F1" w:rsidP="00A840F1">
            <w:pPr>
              <w:spacing w:before="0" w:after="0"/>
              <w:rPr>
                <w:rFonts w:asciiTheme="minorHAnsi" w:hAnsiTheme="minorHAnsi" w:cstheme="minorHAnsi"/>
                <w:color w:val="auto"/>
                <w:sz w:val="21"/>
                <w:szCs w:val="21"/>
              </w:rPr>
            </w:pPr>
          </w:p>
        </w:tc>
        <w:tc>
          <w:tcPr>
            <w:tcW w:w="1417" w:type="dxa"/>
          </w:tcPr>
          <w:p w14:paraId="2A687E81" w14:textId="77777777" w:rsidR="00A840F1" w:rsidRPr="00712EC0" w:rsidRDefault="00A840F1" w:rsidP="00A840F1">
            <w:pPr>
              <w:spacing w:before="0" w:after="0"/>
              <w:jc w:val="center"/>
              <w:rPr>
                <w:rFonts w:asciiTheme="minorHAnsi" w:hAnsiTheme="minorHAnsi" w:cstheme="minorHAnsi"/>
                <w:b/>
                <w:color w:val="auto"/>
                <w:sz w:val="21"/>
                <w:szCs w:val="21"/>
              </w:rPr>
            </w:pPr>
            <w:r w:rsidRPr="00712EC0">
              <w:rPr>
                <w:rFonts w:asciiTheme="minorHAnsi" w:hAnsiTheme="minorHAnsi" w:cstheme="minorHAnsi"/>
                <w:b/>
                <w:color w:val="auto"/>
                <w:sz w:val="21"/>
                <w:szCs w:val="21"/>
              </w:rPr>
              <w:t>Romania</w:t>
            </w:r>
          </w:p>
        </w:tc>
        <w:tc>
          <w:tcPr>
            <w:tcW w:w="1673" w:type="dxa"/>
          </w:tcPr>
          <w:p w14:paraId="05C9F24F" w14:textId="77777777" w:rsidR="00A840F1" w:rsidRPr="00712EC0" w:rsidRDefault="00A840F1" w:rsidP="00A840F1">
            <w:pPr>
              <w:spacing w:before="0" w:after="0"/>
              <w:jc w:val="center"/>
              <w:rPr>
                <w:rFonts w:asciiTheme="minorHAnsi" w:hAnsiTheme="minorHAnsi" w:cstheme="minorHAnsi"/>
                <w:b/>
                <w:color w:val="auto"/>
                <w:sz w:val="21"/>
                <w:szCs w:val="21"/>
              </w:rPr>
            </w:pPr>
            <w:r w:rsidRPr="00712EC0">
              <w:rPr>
                <w:rFonts w:asciiTheme="minorHAnsi" w:hAnsiTheme="minorHAnsi" w:cstheme="minorHAnsi"/>
                <w:b/>
                <w:color w:val="auto"/>
                <w:sz w:val="21"/>
                <w:szCs w:val="21"/>
              </w:rPr>
              <w:t>EU average</w:t>
            </w:r>
          </w:p>
        </w:tc>
      </w:tr>
      <w:tr w:rsidR="00712EC0" w:rsidRPr="00712EC0" w14:paraId="029752B8" w14:textId="77777777" w:rsidTr="00D37FC3">
        <w:tc>
          <w:tcPr>
            <w:tcW w:w="6266" w:type="dxa"/>
          </w:tcPr>
          <w:p w14:paraId="488D55B3" w14:textId="77777777" w:rsidR="00A840F1" w:rsidRPr="00712EC0" w:rsidRDefault="00A840F1" w:rsidP="00A840F1">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 of school leavers among young men</w:t>
            </w:r>
          </w:p>
        </w:tc>
        <w:tc>
          <w:tcPr>
            <w:tcW w:w="1417" w:type="dxa"/>
          </w:tcPr>
          <w:p w14:paraId="711D9CA0" w14:textId="77777777" w:rsidR="00A840F1" w:rsidRPr="00712EC0" w:rsidRDefault="00A840F1" w:rsidP="00A840F1">
            <w:pPr>
              <w:spacing w:before="0" w:after="0"/>
              <w:jc w:val="center"/>
              <w:rPr>
                <w:rFonts w:asciiTheme="minorHAnsi" w:hAnsiTheme="minorHAnsi" w:cstheme="minorHAnsi"/>
                <w:color w:val="auto"/>
                <w:sz w:val="21"/>
                <w:szCs w:val="21"/>
              </w:rPr>
            </w:pPr>
            <w:r w:rsidRPr="00712EC0">
              <w:rPr>
                <w:rFonts w:asciiTheme="minorHAnsi" w:hAnsiTheme="minorHAnsi" w:cstheme="minorHAnsi"/>
                <w:color w:val="auto"/>
                <w:sz w:val="21"/>
                <w:szCs w:val="21"/>
              </w:rPr>
              <w:t>14.9%</w:t>
            </w:r>
          </w:p>
        </w:tc>
        <w:tc>
          <w:tcPr>
            <w:tcW w:w="1673" w:type="dxa"/>
          </w:tcPr>
          <w:p w14:paraId="180E95D9" w14:textId="77777777" w:rsidR="00A840F1" w:rsidRPr="00712EC0" w:rsidRDefault="00A840F1" w:rsidP="00A840F1">
            <w:pPr>
              <w:spacing w:before="0" w:after="0"/>
              <w:jc w:val="center"/>
              <w:rPr>
                <w:rFonts w:asciiTheme="minorHAnsi" w:hAnsiTheme="minorHAnsi" w:cstheme="minorHAnsi"/>
                <w:color w:val="auto"/>
                <w:sz w:val="21"/>
                <w:szCs w:val="21"/>
              </w:rPr>
            </w:pPr>
            <w:r w:rsidRPr="00712EC0">
              <w:rPr>
                <w:rFonts w:asciiTheme="minorHAnsi" w:hAnsiTheme="minorHAnsi" w:cstheme="minorHAnsi"/>
                <w:color w:val="auto"/>
                <w:sz w:val="21"/>
                <w:szCs w:val="21"/>
              </w:rPr>
              <w:t>11.9%</w:t>
            </w:r>
          </w:p>
        </w:tc>
      </w:tr>
      <w:tr w:rsidR="00712EC0" w:rsidRPr="00712EC0" w14:paraId="185B4304" w14:textId="77777777" w:rsidTr="00D37FC3">
        <w:tc>
          <w:tcPr>
            <w:tcW w:w="6266" w:type="dxa"/>
          </w:tcPr>
          <w:p w14:paraId="024D08C1" w14:textId="77777777" w:rsidR="00A840F1" w:rsidRPr="00712EC0" w:rsidRDefault="00A840F1" w:rsidP="00A840F1">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 of school leavers among young women</w:t>
            </w:r>
          </w:p>
        </w:tc>
        <w:tc>
          <w:tcPr>
            <w:tcW w:w="1417" w:type="dxa"/>
          </w:tcPr>
          <w:p w14:paraId="60559886" w14:textId="77777777" w:rsidR="00A840F1" w:rsidRPr="00712EC0" w:rsidRDefault="00A840F1" w:rsidP="00A840F1">
            <w:pPr>
              <w:spacing w:before="0" w:after="0"/>
              <w:jc w:val="center"/>
              <w:rPr>
                <w:rFonts w:asciiTheme="minorHAnsi" w:hAnsiTheme="minorHAnsi" w:cstheme="minorHAnsi"/>
                <w:color w:val="auto"/>
                <w:sz w:val="21"/>
                <w:szCs w:val="21"/>
              </w:rPr>
            </w:pPr>
            <w:r w:rsidRPr="00712EC0">
              <w:rPr>
                <w:rFonts w:asciiTheme="minorHAnsi" w:hAnsiTheme="minorHAnsi" w:cstheme="minorHAnsi"/>
                <w:color w:val="auto"/>
                <w:sz w:val="21"/>
                <w:szCs w:val="21"/>
              </w:rPr>
              <w:t>15.8%</w:t>
            </w:r>
          </w:p>
        </w:tc>
        <w:tc>
          <w:tcPr>
            <w:tcW w:w="1673" w:type="dxa"/>
          </w:tcPr>
          <w:p w14:paraId="4EC9374C" w14:textId="77777777" w:rsidR="00A840F1" w:rsidRPr="00712EC0" w:rsidRDefault="00A840F1" w:rsidP="00A840F1">
            <w:pPr>
              <w:spacing w:before="0" w:after="0"/>
              <w:jc w:val="center"/>
              <w:rPr>
                <w:rFonts w:asciiTheme="minorHAnsi" w:hAnsiTheme="minorHAnsi" w:cstheme="minorHAnsi"/>
                <w:color w:val="auto"/>
                <w:sz w:val="21"/>
                <w:szCs w:val="21"/>
              </w:rPr>
            </w:pPr>
            <w:r w:rsidRPr="00712EC0">
              <w:rPr>
                <w:rFonts w:asciiTheme="minorHAnsi" w:hAnsiTheme="minorHAnsi" w:cstheme="minorHAnsi"/>
                <w:color w:val="auto"/>
                <w:sz w:val="21"/>
                <w:szCs w:val="21"/>
              </w:rPr>
              <w:t>8.4%</w:t>
            </w:r>
          </w:p>
        </w:tc>
      </w:tr>
      <w:tr w:rsidR="00712EC0" w:rsidRPr="00712EC0" w14:paraId="6CFA56FF" w14:textId="77777777" w:rsidTr="00D37FC3">
        <w:tc>
          <w:tcPr>
            <w:tcW w:w="6266" w:type="dxa"/>
          </w:tcPr>
          <w:p w14:paraId="0026B338" w14:textId="77777777" w:rsidR="00A840F1" w:rsidRPr="00712EC0" w:rsidRDefault="00A840F1" w:rsidP="00A840F1">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 of school leavers in cities</w:t>
            </w:r>
          </w:p>
        </w:tc>
        <w:tc>
          <w:tcPr>
            <w:tcW w:w="1417" w:type="dxa"/>
          </w:tcPr>
          <w:p w14:paraId="67B618C0" w14:textId="77777777" w:rsidR="00A840F1" w:rsidRPr="00712EC0" w:rsidRDefault="00A840F1" w:rsidP="00A840F1">
            <w:pPr>
              <w:spacing w:before="0" w:after="0"/>
              <w:jc w:val="center"/>
              <w:rPr>
                <w:rFonts w:asciiTheme="minorHAnsi" w:hAnsiTheme="minorHAnsi" w:cstheme="minorHAnsi"/>
                <w:color w:val="auto"/>
                <w:sz w:val="21"/>
                <w:szCs w:val="21"/>
              </w:rPr>
            </w:pPr>
            <w:r w:rsidRPr="00712EC0">
              <w:rPr>
                <w:rFonts w:asciiTheme="minorHAnsi" w:hAnsiTheme="minorHAnsi" w:cstheme="minorHAnsi"/>
                <w:color w:val="auto"/>
                <w:sz w:val="21"/>
                <w:szCs w:val="21"/>
              </w:rPr>
              <w:t>4.3%</w:t>
            </w:r>
          </w:p>
        </w:tc>
        <w:tc>
          <w:tcPr>
            <w:tcW w:w="1673" w:type="dxa"/>
          </w:tcPr>
          <w:p w14:paraId="4FE05A70" w14:textId="77777777" w:rsidR="00A840F1" w:rsidRPr="00712EC0" w:rsidRDefault="00A840F1" w:rsidP="00A840F1">
            <w:pPr>
              <w:spacing w:before="0" w:after="0"/>
              <w:jc w:val="center"/>
              <w:rPr>
                <w:rFonts w:asciiTheme="minorHAnsi" w:hAnsiTheme="minorHAnsi" w:cstheme="minorHAnsi"/>
                <w:color w:val="auto"/>
                <w:sz w:val="21"/>
                <w:szCs w:val="21"/>
              </w:rPr>
            </w:pPr>
            <w:r w:rsidRPr="00712EC0">
              <w:rPr>
                <w:rFonts w:asciiTheme="minorHAnsi" w:hAnsiTheme="minorHAnsi" w:cstheme="minorHAnsi"/>
                <w:color w:val="auto"/>
                <w:sz w:val="21"/>
                <w:szCs w:val="21"/>
              </w:rPr>
              <w:t>9.1%</w:t>
            </w:r>
          </w:p>
        </w:tc>
      </w:tr>
      <w:tr w:rsidR="00712EC0" w:rsidRPr="00712EC0" w14:paraId="1617CEFC" w14:textId="77777777" w:rsidTr="00D37FC3">
        <w:tc>
          <w:tcPr>
            <w:tcW w:w="6266" w:type="dxa"/>
          </w:tcPr>
          <w:p w14:paraId="5AE86C72" w14:textId="77777777" w:rsidR="00A840F1" w:rsidRPr="00712EC0" w:rsidRDefault="00A840F1" w:rsidP="00A840F1">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 of school leavers in towns and suburbs</w:t>
            </w:r>
          </w:p>
        </w:tc>
        <w:tc>
          <w:tcPr>
            <w:tcW w:w="1417" w:type="dxa"/>
          </w:tcPr>
          <w:p w14:paraId="21953C57" w14:textId="77777777" w:rsidR="00A840F1" w:rsidRPr="00712EC0" w:rsidRDefault="00A840F1" w:rsidP="00A840F1">
            <w:pPr>
              <w:spacing w:before="0" w:after="0"/>
              <w:jc w:val="center"/>
              <w:rPr>
                <w:rFonts w:asciiTheme="minorHAnsi" w:hAnsiTheme="minorHAnsi" w:cstheme="minorHAnsi"/>
                <w:color w:val="auto"/>
                <w:sz w:val="21"/>
                <w:szCs w:val="21"/>
              </w:rPr>
            </w:pPr>
            <w:r w:rsidRPr="00712EC0">
              <w:rPr>
                <w:rFonts w:asciiTheme="minorHAnsi" w:hAnsiTheme="minorHAnsi" w:cstheme="minorHAnsi"/>
                <w:color w:val="auto"/>
                <w:sz w:val="21"/>
                <w:szCs w:val="21"/>
              </w:rPr>
              <w:t>15.7%</w:t>
            </w:r>
          </w:p>
        </w:tc>
        <w:tc>
          <w:tcPr>
            <w:tcW w:w="1673" w:type="dxa"/>
          </w:tcPr>
          <w:p w14:paraId="753890CC" w14:textId="77777777" w:rsidR="00A840F1" w:rsidRPr="00712EC0" w:rsidRDefault="00A840F1" w:rsidP="00A840F1">
            <w:pPr>
              <w:spacing w:before="0" w:after="0"/>
              <w:jc w:val="center"/>
              <w:rPr>
                <w:rFonts w:asciiTheme="minorHAnsi" w:hAnsiTheme="minorHAnsi" w:cstheme="minorHAnsi"/>
                <w:color w:val="auto"/>
                <w:sz w:val="21"/>
                <w:szCs w:val="21"/>
              </w:rPr>
            </w:pPr>
            <w:r w:rsidRPr="00712EC0">
              <w:rPr>
                <w:rFonts w:asciiTheme="minorHAnsi" w:hAnsiTheme="minorHAnsi" w:cstheme="minorHAnsi"/>
                <w:color w:val="auto"/>
                <w:sz w:val="21"/>
                <w:szCs w:val="21"/>
              </w:rPr>
              <w:t>11.2%</w:t>
            </w:r>
          </w:p>
        </w:tc>
      </w:tr>
      <w:tr w:rsidR="00712EC0" w:rsidRPr="00712EC0" w14:paraId="0D158504" w14:textId="77777777" w:rsidTr="00D37FC3">
        <w:tc>
          <w:tcPr>
            <w:tcW w:w="6266" w:type="dxa"/>
          </w:tcPr>
          <w:p w14:paraId="2A6C4A2D" w14:textId="77777777" w:rsidR="00A840F1" w:rsidRPr="00712EC0" w:rsidRDefault="00A840F1" w:rsidP="00A840F1">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 of school leavers in rural areas</w:t>
            </w:r>
          </w:p>
        </w:tc>
        <w:tc>
          <w:tcPr>
            <w:tcW w:w="1417" w:type="dxa"/>
          </w:tcPr>
          <w:p w14:paraId="176675C5" w14:textId="77777777" w:rsidR="00A840F1" w:rsidRPr="00712EC0" w:rsidRDefault="00A840F1" w:rsidP="00A840F1">
            <w:pPr>
              <w:spacing w:before="0" w:after="0"/>
              <w:jc w:val="center"/>
              <w:rPr>
                <w:rFonts w:asciiTheme="minorHAnsi" w:hAnsiTheme="minorHAnsi" w:cstheme="minorHAnsi"/>
                <w:color w:val="auto"/>
                <w:sz w:val="21"/>
                <w:szCs w:val="21"/>
              </w:rPr>
            </w:pPr>
            <w:r w:rsidRPr="00712EC0">
              <w:rPr>
                <w:rFonts w:asciiTheme="minorHAnsi" w:hAnsiTheme="minorHAnsi" w:cstheme="minorHAnsi"/>
                <w:color w:val="auto"/>
                <w:sz w:val="21"/>
                <w:szCs w:val="21"/>
              </w:rPr>
              <w:t>22.%</w:t>
            </w:r>
          </w:p>
        </w:tc>
        <w:tc>
          <w:tcPr>
            <w:tcW w:w="1673" w:type="dxa"/>
          </w:tcPr>
          <w:p w14:paraId="50C0BCBD" w14:textId="77777777" w:rsidR="00A840F1" w:rsidRPr="00712EC0" w:rsidRDefault="00A840F1" w:rsidP="00A840F1">
            <w:pPr>
              <w:spacing w:before="0" w:after="0"/>
              <w:jc w:val="center"/>
              <w:rPr>
                <w:rFonts w:asciiTheme="minorHAnsi" w:hAnsiTheme="minorHAnsi" w:cstheme="minorHAnsi"/>
                <w:color w:val="auto"/>
                <w:sz w:val="21"/>
                <w:szCs w:val="21"/>
              </w:rPr>
            </w:pPr>
            <w:r w:rsidRPr="00712EC0">
              <w:rPr>
                <w:rFonts w:asciiTheme="minorHAnsi" w:hAnsiTheme="minorHAnsi" w:cstheme="minorHAnsi"/>
                <w:color w:val="auto"/>
                <w:sz w:val="21"/>
                <w:szCs w:val="21"/>
              </w:rPr>
              <w:t>10.7%</w:t>
            </w:r>
          </w:p>
        </w:tc>
      </w:tr>
    </w:tbl>
    <w:p w14:paraId="0D9CA294" w14:textId="77777777" w:rsidR="00A840F1" w:rsidRPr="00712EC0" w:rsidRDefault="00A840F1" w:rsidP="00A840F1">
      <w:pPr>
        <w:spacing w:before="0" w:after="0"/>
        <w:jc w:val="both"/>
        <w:rPr>
          <w:rFonts w:asciiTheme="minorHAnsi" w:hAnsiTheme="minorHAnsi" w:cstheme="minorHAnsi"/>
          <w:color w:val="auto"/>
          <w:sz w:val="21"/>
          <w:szCs w:val="21"/>
        </w:rPr>
      </w:pPr>
    </w:p>
    <w:p w14:paraId="4D15BD1D" w14:textId="77777777" w:rsidR="00A840F1" w:rsidRPr="00712EC0" w:rsidRDefault="00A840F1" w:rsidP="00A840F1">
      <w:pPr>
        <w:spacing w:before="0" w:after="0"/>
        <w:jc w:val="both"/>
        <w:rPr>
          <w:rFonts w:asciiTheme="minorHAnsi" w:hAnsiTheme="minorHAnsi" w:cstheme="minorHAnsi"/>
          <w:color w:val="auto"/>
          <w:sz w:val="21"/>
          <w:szCs w:val="21"/>
        </w:rPr>
      </w:pPr>
      <w:r w:rsidRPr="00712EC0">
        <w:rPr>
          <w:rFonts w:asciiTheme="minorHAnsi" w:hAnsiTheme="minorHAnsi" w:cstheme="minorHAnsi"/>
          <w:color w:val="auto"/>
          <w:sz w:val="21"/>
          <w:szCs w:val="21"/>
        </w:rPr>
        <w:t xml:space="preserve">What stands out in the data above is the comparative disadvantage of Romanian rural areas in terms of early school leaving. While in the EU the rate of school leaving among the 18-24 is more uniformly distributed along different size localities, the Romanian context provides an illustration of sharp differences between the large urban centers and the rural localities.  </w:t>
      </w:r>
    </w:p>
    <w:p w14:paraId="5604E7F6" w14:textId="77777777" w:rsidR="00A840F1" w:rsidRPr="00712EC0" w:rsidRDefault="00A840F1" w:rsidP="00A840F1">
      <w:pPr>
        <w:spacing w:before="0" w:after="0"/>
        <w:ind w:left="720"/>
        <w:jc w:val="both"/>
        <w:rPr>
          <w:rFonts w:asciiTheme="minorHAnsi" w:hAnsiTheme="minorHAnsi" w:cstheme="minorHAnsi"/>
          <w:color w:val="auto"/>
          <w:sz w:val="21"/>
          <w:szCs w:val="21"/>
        </w:rPr>
      </w:pPr>
    </w:p>
    <w:p w14:paraId="1543ADD3" w14:textId="77777777" w:rsidR="00A840F1" w:rsidRPr="00712EC0" w:rsidRDefault="00A840F1" w:rsidP="00A840F1">
      <w:pPr>
        <w:spacing w:before="0" w:after="0"/>
        <w:jc w:val="both"/>
        <w:rPr>
          <w:rFonts w:asciiTheme="minorHAnsi" w:hAnsiTheme="minorHAnsi" w:cstheme="minorHAnsi"/>
          <w:color w:val="auto"/>
          <w:sz w:val="21"/>
          <w:szCs w:val="21"/>
        </w:rPr>
      </w:pPr>
      <w:r w:rsidRPr="00712EC0">
        <w:rPr>
          <w:rFonts w:asciiTheme="minorHAnsi" w:hAnsiTheme="minorHAnsi" w:cstheme="minorHAnsi"/>
          <w:color w:val="auto"/>
          <w:sz w:val="21"/>
          <w:szCs w:val="21"/>
        </w:rPr>
        <w:t>Further relevant indicators refer to the transition between education and employment. Below we have synthesized recent data from Eurostat that places Romania in a comparative European context, data for 2019.</w:t>
      </w:r>
      <w:r w:rsidRPr="00712EC0">
        <w:rPr>
          <w:rStyle w:val="FootnoteReference"/>
          <w:rFonts w:asciiTheme="minorHAnsi" w:hAnsiTheme="minorHAnsi" w:cstheme="minorHAnsi"/>
          <w:color w:val="auto"/>
          <w:sz w:val="21"/>
          <w:szCs w:val="21"/>
        </w:rPr>
        <w:footnoteReference w:id="8"/>
      </w:r>
    </w:p>
    <w:p w14:paraId="607028E1" w14:textId="77777777" w:rsidR="00712EC0" w:rsidRPr="00712EC0" w:rsidRDefault="00712EC0" w:rsidP="00712EC0">
      <w:pPr>
        <w:tabs>
          <w:tab w:val="left" w:pos="420"/>
          <w:tab w:val="left" w:pos="2785"/>
        </w:tabs>
        <w:spacing w:before="0" w:after="0"/>
        <w:jc w:val="both"/>
        <w:rPr>
          <w:rFonts w:asciiTheme="minorHAnsi" w:hAnsiTheme="minorHAnsi" w:cstheme="minorHAnsi"/>
          <w:color w:val="auto"/>
          <w:sz w:val="21"/>
          <w:szCs w:val="21"/>
        </w:rPr>
      </w:pPr>
    </w:p>
    <w:tbl>
      <w:tblPr>
        <w:tblStyle w:val="TableGrid2"/>
        <w:tblW w:w="0" w:type="auto"/>
        <w:jc w:val="center"/>
        <w:tblLook w:val="04A0" w:firstRow="1" w:lastRow="0" w:firstColumn="1" w:lastColumn="0" w:noHBand="0" w:noVBand="1"/>
      </w:tblPr>
      <w:tblGrid>
        <w:gridCol w:w="5143"/>
        <w:gridCol w:w="1417"/>
        <w:gridCol w:w="1417"/>
      </w:tblGrid>
      <w:tr w:rsidR="00712EC0" w:rsidRPr="00712EC0" w14:paraId="43088E92" w14:textId="77777777" w:rsidTr="00712EC0">
        <w:trPr>
          <w:jc w:val="center"/>
        </w:trPr>
        <w:tc>
          <w:tcPr>
            <w:tcW w:w="5143" w:type="dxa"/>
            <w:tcBorders>
              <w:top w:val="single" w:sz="4" w:space="0" w:color="auto"/>
              <w:left w:val="single" w:sz="4" w:space="0" w:color="auto"/>
              <w:bottom w:val="single" w:sz="4" w:space="0" w:color="auto"/>
              <w:right w:val="single" w:sz="4" w:space="0" w:color="auto"/>
            </w:tcBorders>
          </w:tcPr>
          <w:p w14:paraId="49DD268A" w14:textId="77777777" w:rsidR="00712EC0" w:rsidRPr="00712EC0" w:rsidRDefault="00712EC0" w:rsidP="00712EC0">
            <w:pPr>
              <w:spacing w:before="0" w:after="0"/>
              <w:jc w:val="both"/>
              <w:rPr>
                <w:rFonts w:eastAsia="Calibri" w:cs="Calibri"/>
                <w:color w:val="auto"/>
                <w:sz w:val="21"/>
                <w:szCs w:val="21"/>
                <w:lang w:eastAsia="en-US"/>
              </w:rPr>
            </w:pPr>
          </w:p>
        </w:tc>
        <w:tc>
          <w:tcPr>
            <w:tcW w:w="1417" w:type="dxa"/>
            <w:tcBorders>
              <w:left w:val="single" w:sz="4" w:space="0" w:color="auto"/>
            </w:tcBorders>
          </w:tcPr>
          <w:p w14:paraId="441C5E10" w14:textId="77777777" w:rsidR="00712EC0" w:rsidRPr="00712EC0" w:rsidRDefault="00712EC0" w:rsidP="00712EC0">
            <w:pPr>
              <w:spacing w:before="0" w:after="0"/>
              <w:jc w:val="center"/>
              <w:rPr>
                <w:rFonts w:eastAsia="Calibri" w:cs="Calibri"/>
                <w:b/>
                <w:color w:val="auto"/>
                <w:sz w:val="21"/>
                <w:szCs w:val="21"/>
                <w:lang w:eastAsia="en-US"/>
              </w:rPr>
            </w:pPr>
            <w:r w:rsidRPr="00712EC0">
              <w:rPr>
                <w:rFonts w:eastAsia="Calibri" w:cs="Calibri"/>
                <w:b/>
                <w:color w:val="auto"/>
                <w:sz w:val="21"/>
                <w:szCs w:val="21"/>
                <w:lang w:eastAsia="en-US"/>
              </w:rPr>
              <w:t>Romania</w:t>
            </w:r>
          </w:p>
        </w:tc>
        <w:tc>
          <w:tcPr>
            <w:tcW w:w="1417" w:type="dxa"/>
          </w:tcPr>
          <w:p w14:paraId="0F51752A" w14:textId="77777777" w:rsidR="00712EC0" w:rsidRPr="00712EC0" w:rsidRDefault="00712EC0" w:rsidP="00712EC0">
            <w:pPr>
              <w:spacing w:before="0" w:after="0"/>
              <w:jc w:val="center"/>
              <w:rPr>
                <w:rFonts w:eastAsia="Calibri" w:cs="Calibri"/>
                <w:b/>
                <w:color w:val="auto"/>
                <w:sz w:val="21"/>
                <w:szCs w:val="21"/>
                <w:lang w:eastAsia="en-US"/>
              </w:rPr>
            </w:pPr>
            <w:r w:rsidRPr="00712EC0">
              <w:rPr>
                <w:rFonts w:eastAsia="Calibri" w:cs="Calibri"/>
                <w:b/>
                <w:color w:val="auto"/>
                <w:sz w:val="21"/>
                <w:szCs w:val="21"/>
                <w:lang w:eastAsia="en-US"/>
              </w:rPr>
              <w:t>EU average</w:t>
            </w:r>
          </w:p>
        </w:tc>
      </w:tr>
      <w:tr w:rsidR="00712EC0" w:rsidRPr="00712EC0" w14:paraId="5B8FCE3E" w14:textId="77777777" w:rsidTr="00712EC0">
        <w:trPr>
          <w:jc w:val="center"/>
        </w:trPr>
        <w:tc>
          <w:tcPr>
            <w:tcW w:w="5143" w:type="dxa"/>
            <w:tcBorders>
              <w:top w:val="single" w:sz="4" w:space="0" w:color="auto"/>
              <w:left w:val="single" w:sz="4" w:space="0" w:color="auto"/>
              <w:bottom w:val="single" w:sz="4" w:space="0" w:color="auto"/>
              <w:right w:val="single" w:sz="4" w:space="0" w:color="auto"/>
            </w:tcBorders>
          </w:tcPr>
          <w:p w14:paraId="3A52475D" w14:textId="77777777" w:rsidR="00712EC0" w:rsidRPr="00712EC0" w:rsidRDefault="00712EC0" w:rsidP="00712EC0">
            <w:pPr>
              <w:spacing w:before="0" w:after="0"/>
              <w:jc w:val="both"/>
              <w:rPr>
                <w:rFonts w:eastAsia="Calibri" w:cs="Calibri"/>
                <w:color w:val="auto"/>
                <w:sz w:val="21"/>
                <w:szCs w:val="21"/>
                <w:lang w:eastAsia="en-US"/>
              </w:rPr>
            </w:pPr>
            <w:r w:rsidRPr="00712EC0">
              <w:rPr>
                <w:rFonts w:eastAsia="Calibri" w:cs="Calibri"/>
                <w:color w:val="auto"/>
                <w:sz w:val="21"/>
                <w:szCs w:val="21"/>
                <w:lang w:eastAsia="en-US"/>
              </w:rPr>
              <w:t xml:space="preserve">Young people aged </w:t>
            </w:r>
            <w:r w:rsidRPr="00712EC0">
              <w:rPr>
                <w:rFonts w:eastAsia="Calibri" w:cs="Calibri"/>
                <w:b/>
                <w:color w:val="auto"/>
                <w:sz w:val="21"/>
                <w:szCs w:val="21"/>
                <w:lang w:eastAsia="en-US"/>
              </w:rPr>
              <w:t>20-34</w:t>
            </w:r>
            <w:r w:rsidRPr="00712EC0">
              <w:rPr>
                <w:rFonts w:eastAsia="Calibri" w:cs="Calibri"/>
                <w:color w:val="auto"/>
                <w:sz w:val="21"/>
                <w:szCs w:val="21"/>
                <w:lang w:eastAsia="en-US"/>
              </w:rPr>
              <w:t xml:space="preserve"> neither in employment, nor in education or training</w:t>
            </w:r>
          </w:p>
        </w:tc>
        <w:tc>
          <w:tcPr>
            <w:tcW w:w="1417" w:type="dxa"/>
            <w:tcBorders>
              <w:left w:val="single" w:sz="4" w:space="0" w:color="auto"/>
            </w:tcBorders>
          </w:tcPr>
          <w:p w14:paraId="018889D7"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19.4 %</w:t>
            </w:r>
          </w:p>
        </w:tc>
        <w:tc>
          <w:tcPr>
            <w:tcW w:w="1417" w:type="dxa"/>
          </w:tcPr>
          <w:p w14:paraId="6E1CA26B"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16.4 %</w:t>
            </w:r>
          </w:p>
        </w:tc>
      </w:tr>
      <w:tr w:rsidR="00712EC0" w:rsidRPr="00712EC0" w14:paraId="45940522" w14:textId="77777777" w:rsidTr="00712EC0">
        <w:trPr>
          <w:jc w:val="center"/>
        </w:trPr>
        <w:tc>
          <w:tcPr>
            <w:tcW w:w="5143" w:type="dxa"/>
            <w:tcBorders>
              <w:top w:val="single" w:sz="4" w:space="0" w:color="auto"/>
              <w:left w:val="single" w:sz="4" w:space="0" w:color="auto"/>
              <w:bottom w:val="single" w:sz="4" w:space="0" w:color="auto"/>
              <w:right w:val="single" w:sz="4" w:space="0" w:color="auto"/>
            </w:tcBorders>
          </w:tcPr>
          <w:p w14:paraId="36E81124" w14:textId="77777777" w:rsidR="00712EC0" w:rsidRPr="00712EC0" w:rsidRDefault="00712EC0" w:rsidP="00712EC0">
            <w:pPr>
              <w:spacing w:before="0" w:after="0"/>
              <w:jc w:val="both"/>
              <w:rPr>
                <w:rFonts w:eastAsia="Calibri" w:cs="Calibri"/>
                <w:color w:val="auto"/>
                <w:sz w:val="21"/>
                <w:szCs w:val="21"/>
                <w:lang w:eastAsia="en-US"/>
              </w:rPr>
            </w:pPr>
            <w:r w:rsidRPr="00712EC0">
              <w:rPr>
                <w:rFonts w:eastAsia="Calibri" w:cs="Calibri"/>
                <w:color w:val="auto"/>
                <w:sz w:val="21"/>
                <w:szCs w:val="21"/>
                <w:lang w:eastAsia="en-US"/>
              </w:rPr>
              <w:t xml:space="preserve">Young people aged </w:t>
            </w:r>
            <w:r w:rsidRPr="00712EC0">
              <w:rPr>
                <w:rFonts w:eastAsia="Calibri" w:cs="Calibri"/>
                <w:b/>
                <w:color w:val="auto"/>
                <w:sz w:val="21"/>
                <w:szCs w:val="21"/>
                <w:lang w:eastAsia="en-US"/>
              </w:rPr>
              <w:t>20-24</w:t>
            </w:r>
            <w:r w:rsidRPr="00712EC0">
              <w:rPr>
                <w:rFonts w:eastAsia="Calibri" w:cs="Calibri"/>
                <w:color w:val="auto"/>
                <w:sz w:val="21"/>
                <w:szCs w:val="21"/>
                <w:lang w:eastAsia="en-US"/>
              </w:rPr>
              <w:t xml:space="preserve"> neither in employment, nor in education or training</w:t>
            </w:r>
          </w:p>
        </w:tc>
        <w:tc>
          <w:tcPr>
            <w:tcW w:w="1417" w:type="dxa"/>
            <w:tcBorders>
              <w:left w:val="single" w:sz="4" w:space="0" w:color="auto"/>
            </w:tcBorders>
          </w:tcPr>
          <w:p w14:paraId="7FE66C23"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18.9 %</w:t>
            </w:r>
          </w:p>
        </w:tc>
        <w:tc>
          <w:tcPr>
            <w:tcW w:w="1417" w:type="dxa"/>
          </w:tcPr>
          <w:p w14:paraId="45CF87A8"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14.5 %</w:t>
            </w:r>
          </w:p>
        </w:tc>
      </w:tr>
      <w:tr w:rsidR="00712EC0" w:rsidRPr="00712EC0" w14:paraId="2DF89A07" w14:textId="77777777" w:rsidTr="00712EC0">
        <w:trPr>
          <w:jc w:val="center"/>
        </w:trPr>
        <w:tc>
          <w:tcPr>
            <w:tcW w:w="5143" w:type="dxa"/>
            <w:tcBorders>
              <w:top w:val="single" w:sz="4" w:space="0" w:color="auto"/>
              <w:left w:val="single" w:sz="4" w:space="0" w:color="auto"/>
              <w:bottom w:val="single" w:sz="4" w:space="0" w:color="auto"/>
              <w:right w:val="single" w:sz="4" w:space="0" w:color="auto"/>
            </w:tcBorders>
          </w:tcPr>
          <w:p w14:paraId="5A95BFAB" w14:textId="77777777" w:rsidR="00712EC0" w:rsidRPr="00712EC0" w:rsidRDefault="00712EC0" w:rsidP="00712EC0">
            <w:pPr>
              <w:spacing w:before="0" w:after="0"/>
              <w:jc w:val="both"/>
              <w:rPr>
                <w:rFonts w:eastAsia="Calibri" w:cs="Calibri"/>
                <w:color w:val="auto"/>
                <w:sz w:val="21"/>
                <w:szCs w:val="21"/>
                <w:lang w:eastAsia="en-US"/>
              </w:rPr>
            </w:pPr>
            <w:r w:rsidRPr="00712EC0">
              <w:rPr>
                <w:rFonts w:eastAsia="Calibri" w:cs="Calibri"/>
                <w:color w:val="auto"/>
                <w:sz w:val="21"/>
                <w:szCs w:val="21"/>
                <w:lang w:eastAsia="en-US"/>
              </w:rPr>
              <w:t xml:space="preserve">Young people aged </w:t>
            </w:r>
            <w:r w:rsidRPr="00712EC0">
              <w:rPr>
                <w:rFonts w:eastAsia="Calibri" w:cs="Calibri"/>
                <w:b/>
                <w:color w:val="auto"/>
                <w:sz w:val="21"/>
                <w:szCs w:val="21"/>
                <w:lang w:eastAsia="en-US"/>
              </w:rPr>
              <w:t>25-29</w:t>
            </w:r>
            <w:r w:rsidRPr="00712EC0">
              <w:rPr>
                <w:rFonts w:eastAsia="Calibri" w:cs="Calibri"/>
                <w:color w:val="auto"/>
                <w:sz w:val="21"/>
                <w:szCs w:val="21"/>
                <w:lang w:eastAsia="en-US"/>
              </w:rPr>
              <w:t xml:space="preserve"> neither in employment, nor in education or training</w:t>
            </w:r>
          </w:p>
        </w:tc>
        <w:tc>
          <w:tcPr>
            <w:tcW w:w="1417" w:type="dxa"/>
            <w:tcBorders>
              <w:left w:val="single" w:sz="4" w:space="0" w:color="auto"/>
            </w:tcBorders>
          </w:tcPr>
          <w:p w14:paraId="3DE6E68D"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20.8 %</w:t>
            </w:r>
          </w:p>
        </w:tc>
        <w:tc>
          <w:tcPr>
            <w:tcW w:w="1417" w:type="dxa"/>
          </w:tcPr>
          <w:p w14:paraId="5E278A7C"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17.2 %</w:t>
            </w:r>
          </w:p>
        </w:tc>
      </w:tr>
      <w:tr w:rsidR="00712EC0" w:rsidRPr="00712EC0" w14:paraId="2914900B" w14:textId="77777777" w:rsidTr="00712EC0">
        <w:trPr>
          <w:jc w:val="center"/>
        </w:trPr>
        <w:tc>
          <w:tcPr>
            <w:tcW w:w="5143" w:type="dxa"/>
            <w:tcBorders>
              <w:top w:val="single" w:sz="4" w:space="0" w:color="auto"/>
              <w:left w:val="single" w:sz="4" w:space="0" w:color="auto"/>
              <w:bottom w:val="single" w:sz="4" w:space="0" w:color="auto"/>
              <w:right w:val="single" w:sz="4" w:space="0" w:color="auto"/>
            </w:tcBorders>
          </w:tcPr>
          <w:p w14:paraId="3539D65C" w14:textId="77777777" w:rsidR="00712EC0" w:rsidRPr="00712EC0" w:rsidRDefault="00712EC0" w:rsidP="00712EC0">
            <w:pPr>
              <w:spacing w:before="0" w:after="0"/>
              <w:ind w:left="-27"/>
              <w:jc w:val="both"/>
              <w:rPr>
                <w:rFonts w:eastAsia="Calibri" w:cs="Calibri"/>
                <w:color w:val="auto"/>
                <w:sz w:val="21"/>
                <w:szCs w:val="21"/>
                <w:lang w:eastAsia="en-US"/>
              </w:rPr>
            </w:pPr>
            <w:r w:rsidRPr="00712EC0">
              <w:rPr>
                <w:rFonts w:eastAsia="Calibri" w:cs="Calibri"/>
                <w:color w:val="auto"/>
                <w:sz w:val="21"/>
                <w:szCs w:val="21"/>
                <w:lang w:eastAsia="en-US"/>
              </w:rPr>
              <w:t xml:space="preserve">Young people aged </w:t>
            </w:r>
            <w:r w:rsidRPr="00712EC0">
              <w:rPr>
                <w:rFonts w:eastAsia="Calibri" w:cs="Calibri"/>
                <w:b/>
                <w:color w:val="auto"/>
                <w:sz w:val="21"/>
                <w:szCs w:val="21"/>
                <w:lang w:eastAsia="en-US"/>
              </w:rPr>
              <w:t>30-34</w:t>
            </w:r>
            <w:r w:rsidRPr="00712EC0">
              <w:rPr>
                <w:rFonts w:eastAsia="Calibri" w:cs="Calibri"/>
                <w:color w:val="auto"/>
                <w:sz w:val="21"/>
                <w:szCs w:val="21"/>
                <w:lang w:eastAsia="en-US"/>
              </w:rPr>
              <w:t xml:space="preserve"> neither in employment, nor in education or training</w:t>
            </w:r>
          </w:p>
        </w:tc>
        <w:tc>
          <w:tcPr>
            <w:tcW w:w="1417" w:type="dxa"/>
            <w:tcBorders>
              <w:left w:val="single" w:sz="4" w:space="0" w:color="auto"/>
            </w:tcBorders>
          </w:tcPr>
          <w:p w14:paraId="06E15CC5"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18.6 %</w:t>
            </w:r>
          </w:p>
        </w:tc>
        <w:tc>
          <w:tcPr>
            <w:tcW w:w="1417" w:type="dxa"/>
          </w:tcPr>
          <w:p w14:paraId="0EB0A0C6"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17.4 %</w:t>
            </w:r>
          </w:p>
        </w:tc>
      </w:tr>
      <w:tr w:rsidR="00712EC0" w:rsidRPr="00712EC0" w14:paraId="09CDEEAD" w14:textId="77777777" w:rsidTr="00712EC0">
        <w:trPr>
          <w:jc w:val="center"/>
        </w:trPr>
        <w:tc>
          <w:tcPr>
            <w:tcW w:w="5143" w:type="dxa"/>
            <w:tcBorders>
              <w:top w:val="single" w:sz="4" w:space="0" w:color="auto"/>
              <w:left w:val="single" w:sz="4" w:space="0" w:color="auto"/>
              <w:bottom w:val="single" w:sz="4" w:space="0" w:color="auto"/>
              <w:right w:val="single" w:sz="4" w:space="0" w:color="auto"/>
            </w:tcBorders>
          </w:tcPr>
          <w:p w14:paraId="14E6ADBF" w14:textId="77777777" w:rsidR="00712EC0" w:rsidRPr="00712EC0" w:rsidRDefault="00712EC0" w:rsidP="00712EC0">
            <w:pPr>
              <w:spacing w:before="0" w:after="0"/>
              <w:jc w:val="both"/>
              <w:rPr>
                <w:rFonts w:eastAsia="Calibri" w:cs="Calibri"/>
                <w:color w:val="auto"/>
                <w:sz w:val="21"/>
                <w:szCs w:val="21"/>
                <w:lang w:eastAsia="en-US"/>
              </w:rPr>
            </w:pPr>
            <w:r w:rsidRPr="00712EC0">
              <w:rPr>
                <w:rFonts w:eastAsia="Calibri" w:cs="Calibri"/>
                <w:b/>
                <w:color w:val="auto"/>
                <w:sz w:val="21"/>
                <w:szCs w:val="21"/>
                <w:lang w:eastAsia="en-US"/>
              </w:rPr>
              <w:t>Men</w:t>
            </w:r>
            <w:r w:rsidRPr="00712EC0">
              <w:rPr>
                <w:rFonts w:eastAsia="Calibri" w:cs="Calibri"/>
                <w:color w:val="auto"/>
                <w:sz w:val="21"/>
                <w:szCs w:val="21"/>
                <w:lang w:eastAsia="en-US"/>
              </w:rPr>
              <w:t xml:space="preserve"> aged </w:t>
            </w:r>
            <w:r w:rsidRPr="00712EC0">
              <w:rPr>
                <w:rFonts w:eastAsia="Calibri" w:cs="Calibri"/>
                <w:b/>
                <w:color w:val="auto"/>
                <w:sz w:val="21"/>
                <w:szCs w:val="21"/>
                <w:lang w:eastAsia="en-US"/>
              </w:rPr>
              <w:t>20-34</w:t>
            </w:r>
            <w:r w:rsidRPr="00712EC0">
              <w:rPr>
                <w:rFonts w:eastAsia="Calibri" w:cs="Calibri"/>
                <w:color w:val="auto"/>
                <w:sz w:val="21"/>
                <w:szCs w:val="21"/>
                <w:lang w:eastAsia="en-US"/>
              </w:rPr>
              <w:t xml:space="preserve"> neither in employment, nor in education or training</w:t>
            </w:r>
          </w:p>
        </w:tc>
        <w:tc>
          <w:tcPr>
            <w:tcW w:w="1417" w:type="dxa"/>
            <w:tcBorders>
              <w:left w:val="single" w:sz="4" w:space="0" w:color="auto"/>
            </w:tcBorders>
          </w:tcPr>
          <w:p w14:paraId="70A43141"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11.5 %</w:t>
            </w:r>
          </w:p>
        </w:tc>
        <w:tc>
          <w:tcPr>
            <w:tcW w:w="1417" w:type="dxa"/>
          </w:tcPr>
          <w:p w14:paraId="660285A5"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12.2 %</w:t>
            </w:r>
          </w:p>
        </w:tc>
      </w:tr>
      <w:tr w:rsidR="00712EC0" w:rsidRPr="00712EC0" w14:paraId="20679AB0" w14:textId="77777777" w:rsidTr="00712EC0">
        <w:trPr>
          <w:jc w:val="center"/>
        </w:trPr>
        <w:tc>
          <w:tcPr>
            <w:tcW w:w="5143" w:type="dxa"/>
            <w:tcBorders>
              <w:top w:val="single" w:sz="4" w:space="0" w:color="auto"/>
              <w:left w:val="single" w:sz="4" w:space="0" w:color="auto"/>
              <w:bottom w:val="single" w:sz="4" w:space="0" w:color="auto"/>
              <w:right w:val="single" w:sz="4" w:space="0" w:color="auto"/>
            </w:tcBorders>
          </w:tcPr>
          <w:p w14:paraId="3C4A0D42" w14:textId="77777777" w:rsidR="00712EC0" w:rsidRPr="00712EC0" w:rsidRDefault="00712EC0" w:rsidP="00712EC0">
            <w:pPr>
              <w:spacing w:before="0" w:after="0"/>
              <w:jc w:val="both"/>
              <w:rPr>
                <w:rFonts w:eastAsia="Calibri" w:cs="Calibri"/>
                <w:color w:val="auto"/>
                <w:sz w:val="21"/>
                <w:szCs w:val="21"/>
                <w:lang w:eastAsia="en-US"/>
              </w:rPr>
            </w:pPr>
            <w:r w:rsidRPr="00712EC0">
              <w:rPr>
                <w:rFonts w:eastAsia="Calibri" w:cs="Calibri"/>
                <w:b/>
                <w:color w:val="auto"/>
                <w:sz w:val="21"/>
                <w:szCs w:val="21"/>
                <w:lang w:eastAsia="en-US"/>
              </w:rPr>
              <w:t>Women</w:t>
            </w:r>
            <w:r w:rsidRPr="00712EC0">
              <w:rPr>
                <w:rFonts w:eastAsia="Calibri" w:cs="Calibri"/>
                <w:color w:val="auto"/>
                <w:sz w:val="21"/>
                <w:szCs w:val="21"/>
                <w:lang w:eastAsia="en-US"/>
              </w:rPr>
              <w:t xml:space="preserve"> aged </w:t>
            </w:r>
            <w:r w:rsidRPr="00712EC0">
              <w:rPr>
                <w:rFonts w:eastAsia="Calibri" w:cs="Calibri"/>
                <w:b/>
                <w:color w:val="auto"/>
                <w:sz w:val="21"/>
                <w:szCs w:val="21"/>
                <w:lang w:eastAsia="en-US"/>
              </w:rPr>
              <w:t>20-34</w:t>
            </w:r>
            <w:r w:rsidRPr="00712EC0">
              <w:rPr>
                <w:rFonts w:eastAsia="Calibri" w:cs="Calibri"/>
                <w:color w:val="auto"/>
                <w:sz w:val="21"/>
                <w:szCs w:val="21"/>
                <w:lang w:eastAsia="en-US"/>
              </w:rPr>
              <w:t xml:space="preserve"> neither in employment, nor in education or training</w:t>
            </w:r>
          </w:p>
        </w:tc>
        <w:tc>
          <w:tcPr>
            <w:tcW w:w="1417" w:type="dxa"/>
            <w:tcBorders>
              <w:left w:val="single" w:sz="4" w:space="0" w:color="auto"/>
            </w:tcBorders>
          </w:tcPr>
          <w:p w14:paraId="7FEB6F78"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27.8 %</w:t>
            </w:r>
          </w:p>
        </w:tc>
        <w:tc>
          <w:tcPr>
            <w:tcW w:w="1417" w:type="dxa"/>
          </w:tcPr>
          <w:p w14:paraId="06204E47" w14:textId="77777777" w:rsidR="00712EC0" w:rsidRPr="00712EC0" w:rsidRDefault="00712EC0" w:rsidP="00712EC0">
            <w:pPr>
              <w:spacing w:before="0" w:after="0"/>
              <w:jc w:val="center"/>
              <w:rPr>
                <w:rFonts w:eastAsia="Calibri" w:cs="Calibri"/>
                <w:color w:val="auto"/>
                <w:sz w:val="21"/>
                <w:szCs w:val="21"/>
                <w:lang w:eastAsia="en-US"/>
              </w:rPr>
            </w:pPr>
            <w:r w:rsidRPr="00712EC0">
              <w:rPr>
                <w:rFonts w:eastAsia="Calibri" w:cs="Calibri"/>
                <w:color w:val="auto"/>
                <w:sz w:val="21"/>
                <w:szCs w:val="21"/>
                <w:lang w:eastAsia="en-US"/>
              </w:rPr>
              <w:t>20.8 %</w:t>
            </w:r>
          </w:p>
        </w:tc>
      </w:tr>
    </w:tbl>
    <w:p w14:paraId="41A621D0" w14:textId="77777777" w:rsidR="00D37FC3" w:rsidRDefault="00D37FC3" w:rsidP="00A840F1">
      <w:pPr>
        <w:spacing w:before="0" w:after="0"/>
        <w:jc w:val="both"/>
        <w:rPr>
          <w:rFonts w:asciiTheme="minorHAnsi" w:hAnsiTheme="minorHAnsi" w:cstheme="minorHAnsi"/>
          <w:color w:val="auto"/>
          <w:sz w:val="21"/>
          <w:szCs w:val="21"/>
        </w:rPr>
      </w:pPr>
    </w:p>
    <w:p w14:paraId="1D6BF42B" w14:textId="77777777" w:rsidR="00A840F1" w:rsidRPr="00712EC0" w:rsidRDefault="00A840F1" w:rsidP="00A840F1">
      <w:pPr>
        <w:spacing w:before="0" w:after="0"/>
        <w:jc w:val="both"/>
        <w:rPr>
          <w:rFonts w:asciiTheme="minorHAnsi" w:hAnsiTheme="minorHAnsi" w:cstheme="minorHAnsi"/>
          <w:color w:val="auto"/>
          <w:sz w:val="21"/>
          <w:szCs w:val="21"/>
        </w:rPr>
      </w:pPr>
      <w:r w:rsidRPr="00712EC0">
        <w:rPr>
          <w:rFonts w:asciiTheme="minorHAnsi" w:hAnsiTheme="minorHAnsi" w:cstheme="minorHAnsi"/>
          <w:color w:val="auto"/>
          <w:sz w:val="21"/>
          <w:szCs w:val="21"/>
        </w:rPr>
        <w:t xml:space="preserve">As shown, Romania records higher percentages of </w:t>
      </w:r>
      <w:r w:rsidRPr="00712EC0">
        <w:rPr>
          <w:rFonts w:asciiTheme="minorHAnsi" w:hAnsiTheme="minorHAnsi" w:cstheme="minorHAnsi"/>
          <w:i/>
          <w:color w:val="auto"/>
          <w:sz w:val="21"/>
          <w:szCs w:val="21"/>
        </w:rPr>
        <w:t>youth neither employed nor in some form of education</w:t>
      </w:r>
      <w:r w:rsidRPr="00712EC0">
        <w:rPr>
          <w:rFonts w:asciiTheme="minorHAnsi" w:hAnsiTheme="minorHAnsi" w:cstheme="minorHAnsi"/>
          <w:color w:val="auto"/>
          <w:sz w:val="21"/>
          <w:szCs w:val="21"/>
        </w:rPr>
        <w:t>/</w:t>
      </w:r>
      <w:r w:rsidRPr="00712EC0">
        <w:rPr>
          <w:rFonts w:asciiTheme="minorHAnsi" w:hAnsiTheme="minorHAnsi" w:cstheme="minorHAnsi"/>
          <w:i/>
          <w:color w:val="auto"/>
          <w:sz w:val="21"/>
          <w:szCs w:val="21"/>
        </w:rPr>
        <w:t>training</w:t>
      </w:r>
      <w:r w:rsidRPr="00712EC0">
        <w:rPr>
          <w:rFonts w:asciiTheme="minorHAnsi" w:hAnsiTheme="minorHAnsi" w:cstheme="minorHAnsi"/>
          <w:color w:val="auto"/>
          <w:sz w:val="21"/>
          <w:szCs w:val="21"/>
        </w:rPr>
        <w:t xml:space="preserve"> for all age sub-categories, compared to the EU average. An important observation concerns the gender discrepancies: for the overall interval 20-34 years, the percentage of women neither in employment nor in education/training is more than double compared to the that of men. Data reveals additional discrepancies related to the level of urbanization. </w:t>
      </w:r>
    </w:p>
    <w:p w14:paraId="5182D3A9" w14:textId="77777777" w:rsidR="00712EC0" w:rsidRPr="00712EC0" w:rsidRDefault="00712EC0" w:rsidP="00A840F1">
      <w:pPr>
        <w:spacing w:before="0" w:after="0"/>
        <w:jc w:val="both"/>
        <w:rPr>
          <w:rFonts w:asciiTheme="minorHAnsi" w:hAnsiTheme="minorHAnsi" w:cstheme="minorHAnsi"/>
          <w:color w:val="auto"/>
          <w:sz w:val="21"/>
          <w:szCs w:val="21"/>
        </w:rPr>
      </w:pPr>
    </w:p>
    <w:p w14:paraId="22FEE385" w14:textId="77777777" w:rsidR="00712EC0" w:rsidRDefault="00712EC0" w:rsidP="00A840F1">
      <w:pPr>
        <w:spacing w:before="0" w:after="0"/>
        <w:jc w:val="both"/>
        <w:rPr>
          <w:rFonts w:asciiTheme="minorHAnsi" w:hAnsiTheme="minorHAnsi" w:cstheme="minorHAnsi"/>
          <w:color w:val="auto"/>
          <w:sz w:val="21"/>
          <w:szCs w:val="21"/>
        </w:rPr>
      </w:pPr>
    </w:p>
    <w:p w14:paraId="276B3917" w14:textId="77777777" w:rsidR="00712EC0" w:rsidRDefault="00712EC0" w:rsidP="00A840F1">
      <w:pPr>
        <w:spacing w:before="0" w:after="0"/>
        <w:jc w:val="both"/>
        <w:rPr>
          <w:rFonts w:asciiTheme="minorHAnsi" w:hAnsiTheme="minorHAnsi" w:cstheme="minorHAnsi"/>
          <w:color w:val="auto"/>
          <w:sz w:val="21"/>
          <w:szCs w:val="21"/>
        </w:rPr>
      </w:pPr>
    </w:p>
    <w:p w14:paraId="5779DDAD" w14:textId="77777777" w:rsidR="00A840F1" w:rsidRPr="00712EC0" w:rsidRDefault="00A840F1" w:rsidP="00712EC0">
      <w:pPr>
        <w:spacing w:before="0" w:after="0"/>
        <w:jc w:val="both"/>
        <w:rPr>
          <w:rFonts w:asciiTheme="minorHAnsi" w:hAnsiTheme="minorHAnsi" w:cstheme="minorHAnsi"/>
          <w:color w:val="auto"/>
          <w:sz w:val="21"/>
          <w:szCs w:val="21"/>
        </w:rPr>
      </w:pPr>
      <w:r w:rsidRPr="00712EC0">
        <w:rPr>
          <w:rFonts w:asciiTheme="minorHAnsi" w:hAnsiTheme="minorHAnsi" w:cstheme="minorHAnsi"/>
          <w:color w:val="auto"/>
          <w:sz w:val="21"/>
          <w:szCs w:val="21"/>
        </w:rPr>
        <w:t>The rate of youth 24-30 neither in employment nor in education/training is more than 10% higher in rural areas, compared to cities.</w:t>
      </w:r>
      <w:r w:rsidRPr="00712EC0">
        <w:rPr>
          <w:rStyle w:val="FootnoteReference"/>
          <w:rFonts w:asciiTheme="minorHAnsi" w:hAnsiTheme="minorHAnsi" w:cstheme="minorHAnsi"/>
          <w:color w:val="auto"/>
          <w:sz w:val="21"/>
          <w:szCs w:val="21"/>
        </w:rPr>
        <w:footnoteReference w:id="9"/>
      </w:r>
    </w:p>
    <w:p w14:paraId="793A2A22" w14:textId="77777777" w:rsidR="00A840F1" w:rsidRPr="00712EC0" w:rsidRDefault="00A840F1" w:rsidP="00712EC0">
      <w:pPr>
        <w:spacing w:before="0" w:after="0"/>
        <w:jc w:val="both"/>
        <w:rPr>
          <w:rFonts w:asciiTheme="minorHAnsi" w:hAnsiTheme="minorHAnsi" w:cstheme="minorHAnsi"/>
          <w:color w:val="auto"/>
          <w:sz w:val="21"/>
          <w:szCs w:val="21"/>
        </w:rPr>
      </w:pPr>
    </w:p>
    <w:p w14:paraId="476F56F5" w14:textId="77777777" w:rsidR="00A840F1" w:rsidRDefault="00A840F1" w:rsidP="00712EC0">
      <w:pPr>
        <w:spacing w:before="0" w:after="0"/>
        <w:jc w:val="both"/>
        <w:rPr>
          <w:rFonts w:asciiTheme="minorHAnsi" w:hAnsiTheme="minorHAnsi" w:cstheme="minorHAnsi"/>
          <w:color w:val="auto"/>
          <w:sz w:val="21"/>
          <w:szCs w:val="21"/>
        </w:rPr>
      </w:pPr>
      <w:r w:rsidRPr="00712EC0">
        <w:rPr>
          <w:rFonts w:asciiTheme="minorHAnsi" w:hAnsiTheme="minorHAnsi" w:cstheme="minorHAnsi"/>
          <w:color w:val="auto"/>
          <w:sz w:val="21"/>
          <w:szCs w:val="21"/>
        </w:rPr>
        <w:t xml:space="preserve">Last but not least, Eurostat provides information on the </w:t>
      </w:r>
      <w:r w:rsidRPr="00712EC0">
        <w:rPr>
          <w:rFonts w:asciiTheme="minorHAnsi" w:hAnsiTheme="minorHAnsi" w:cstheme="minorHAnsi"/>
          <w:i/>
          <w:color w:val="auto"/>
          <w:sz w:val="21"/>
          <w:szCs w:val="21"/>
        </w:rPr>
        <w:t>employment rate of recent graduates</w:t>
      </w:r>
      <w:r w:rsidRPr="00712EC0">
        <w:rPr>
          <w:rFonts w:asciiTheme="minorHAnsi" w:hAnsiTheme="minorHAnsi" w:cstheme="minorHAnsi"/>
          <w:color w:val="auto"/>
          <w:sz w:val="21"/>
          <w:szCs w:val="21"/>
        </w:rPr>
        <w:t xml:space="preserve"> </w:t>
      </w:r>
      <w:r w:rsidRPr="00712EC0">
        <w:rPr>
          <w:rFonts w:asciiTheme="minorHAnsi" w:hAnsiTheme="minorHAnsi" w:cstheme="minorHAnsi"/>
          <w:i/>
          <w:color w:val="auto"/>
          <w:sz w:val="21"/>
          <w:szCs w:val="21"/>
        </w:rPr>
        <w:t>(aged 20-34) not in education and training</w:t>
      </w:r>
      <w:r w:rsidRPr="00712EC0">
        <w:rPr>
          <w:rFonts w:asciiTheme="minorHAnsi" w:hAnsiTheme="minorHAnsi" w:cstheme="minorHAnsi"/>
          <w:color w:val="auto"/>
          <w:sz w:val="21"/>
          <w:szCs w:val="21"/>
        </w:rPr>
        <w:t>. Below a comparison between Romania and EU is outlined.</w:t>
      </w:r>
      <w:r w:rsidRPr="00712EC0">
        <w:rPr>
          <w:rStyle w:val="FootnoteReference"/>
          <w:rFonts w:asciiTheme="minorHAnsi" w:hAnsiTheme="minorHAnsi" w:cstheme="minorHAnsi"/>
          <w:color w:val="auto"/>
          <w:sz w:val="21"/>
          <w:szCs w:val="21"/>
        </w:rPr>
        <w:footnoteReference w:id="10"/>
      </w:r>
      <w:r w:rsidRPr="00712EC0">
        <w:rPr>
          <w:rFonts w:asciiTheme="minorHAnsi" w:hAnsiTheme="minorHAnsi" w:cstheme="minorHAnsi"/>
          <w:color w:val="auto"/>
          <w:sz w:val="21"/>
          <w:szCs w:val="21"/>
        </w:rPr>
        <w:t xml:space="preserve"> </w:t>
      </w:r>
    </w:p>
    <w:p w14:paraId="1567D18B" w14:textId="77777777" w:rsidR="009E4255" w:rsidRPr="00712EC0" w:rsidRDefault="009E4255" w:rsidP="00712EC0">
      <w:pPr>
        <w:spacing w:before="0" w:after="0"/>
        <w:jc w:val="both"/>
        <w:rPr>
          <w:rFonts w:asciiTheme="minorHAnsi" w:hAnsiTheme="minorHAnsi" w:cstheme="minorHAnsi"/>
          <w:color w:val="auto"/>
          <w:sz w:val="21"/>
          <w:szCs w:val="21"/>
        </w:rPr>
      </w:pPr>
    </w:p>
    <w:p w14:paraId="4ADE817C" w14:textId="77777777" w:rsidR="00A840F1" w:rsidRPr="00712EC0" w:rsidRDefault="00A840F1" w:rsidP="00712EC0">
      <w:pPr>
        <w:spacing w:before="0" w:after="0"/>
        <w:ind w:left="142"/>
        <w:jc w:val="both"/>
        <w:rPr>
          <w:rFonts w:asciiTheme="minorHAnsi" w:hAnsiTheme="minorHAnsi" w:cstheme="minorHAnsi"/>
          <w:color w:val="auto"/>
          <w:sz w:val="21"/>
          <w:szCs w:val="21"/>
        </w:rPr>
      </w:pPr>
    </w:p>
    <w:tbl>
      <w:tblPr>
        <w:tblStyle w:val="TableGrid"/>
        <w:tblW w:w="9781" w:type="dxa"/>
        <w:tblInd w:w="-34" w:type="dxa"/>
        <w:tblLook w:val="04A0" w:firstRow="1" w:lastRow="0" w:firstColumn="1" w:lastColumn="0" w:noHBand="0" w:noVBand="1"/>
      </w:tblPr>
      <w:tblGrid>
        <w:gridCol w:w="7387"/>
        <w:gridCol w:w="1150"/>
        <w:gridCol w:w="1244"/>
      </w:tblGrid>
      <w:tr w:rsidR="00712EC0" w:rsidRPr="00712EC0" w14:paraId="078E7BAF" w14:textId="77777777" w:rsidTr="00D37FC3">
        <w:tc>
          <w:tcPr>
            <w:tcW w:w="7387" w:type="dxa"/>
          </w:tcPr>
          <w:p w14:paraId="551A5088" w14:textId="77777777" w:rsidR="00A840F1" w:rsidRPr="00712EC0" w:rsidRDefault="00A840F1" w:rsidP="00712EC0">
            <w:pPr>
              <w:spacing w:before="0" w:after="0"/>
              <w:rPr>
                <w:rFonts w:asciiTheme="minorHAnsi" w:hAnsiTheme="minorHAnsi" w:cstheme="minorHAnsi"/>
                <w:color w:val="auto"/>
                <w:sz w:val="21"/>
                <w:szCs w:val="21"/>
              </w:rPr>
            </w:pPr>
          </w:p>
        </w:tc>
        <w:tc>
          <w:tcPr>
            <w:tcW w:w="1150" w:type="dxa"/>
          </w:tcPr>
          <w:p w14:paraId="6D904D1E" w14:textId="77777777" w:rsidR="00A840F1" w:rsidRPr="00712EC0" w:rsidRDefault="00A840F1" w:rsidP="00712EC0">
            <w:pPr>
              <w:spacing w:before="0" w:after="0"/>
              <w:rPr>
                <w:rFonts w:asciiTheme="minorHAnsi" w:hAnsiTheme="minorHAnsi" w:cstheme="minorHAnsi"/>
                <w:b/>
                <w:color w:val="auto"/>
                <w:sz w:val="21"/>
                <w:szCs w:val="21"/>
              </w:rPr>
            </w:pPr>
            <w:r w:rsidRPr="00712EC0">
              <w:rPr>
                <w:rFonts w:asciiTheme="minorHAnsi" w:hAnsiTheme="minorHAnsi" w:cstheme="minorHAnsi"/>
                <w:b/>
                <w:color w:val="auto"/>
                <w:sz w:val="21"/>
                <w:szCs w:val="21"/>
              </w:rPr>
              <w:t>Romania</w:t>
            </w:r>
          </w:p>
        </w:tc>
        <w:tc>
          <w:tcPr>
            <w:tcW w:w="1244" w:type="dxa"/>
          </w:tcPr>
          <w:p w14:paraId="53EB5E53" w14:textId="77777777" w:rsidR="00A840F1" w:rsidRPr="00712EC0" w:rsidRDefault="00A840F1" w:rsidP="00712EC0">
            <w:pPr>
              <w:spacing w:before="0" w:after="0"/>
              <w:rPr>
                <w:rFonts w:asciiTheme="minorHAnsi" w:hAnsiTheme="minorHAnsi" w:cstheme="minorHAnsi"/>
                <w:b/>
                <w:color w:val="auto"/>
                <w:sz w:val="21"/>
                <w:szCs w:val="21"/>
              </w:rPr>
            </w:pPr>
            <w:r w:rsidRPr="00712EC0">
              <w:rPr>
                <w:rFonts w:asciiTheme="minorHAnsi" w:hAnsiTheme="minorHAnsi" w:cstheme="minorHAnsi"/>
                <w:b/>
                <w:color w:val="auto"/>
                <w:sz w:val="21"/>
                <w:szCs w:val="21"/>
              </w:rPr>
              <w:t xml:space="preserve">EU </w:t>
            </w:r>
          </w:p>
        </w:tc>
      </w:tr>
      <w:tr w:rsidR="00712EC0" w:rsidRPr="00712EC0" w14:paraId="3394D7CE" w14:textId="77777777" w:rsidTr="00D37FC3">
        <w:tc>
          <w:tcPr>
            <w:tcW w:w="7387" w:type="dxa"/>
          </w:tcPr>
          <w:p w14:paraId="002BA0C6"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 xml:space="preserve">Employment rate of recent graduates (20-34) </w:t>
            </w:r>
          </w:p>
          <w:p w14:paraId="24C38840"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not in education and training  -total</w:t>
            </w:r>
          </w:p>
        </w:tc>
        <w:tc>
          <w:tcPr>
            <w:tcW w:w="1150" w:type="dxa"/>
          </w:tcPr>
          <w:p w14:paraId="7C4EBB31"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76.1%</w:t>
            </w:r>
          </w:p>
        </w:tc>
        <w:tc>
          <w:tcPr>
            <w:tcW w:w="1244" w:type="dxa"/>
          </w:tcPr>
          <w:p w14:paraId="73703B03"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80.9%</w:t>
            </w:r>
          </w:p>
        </w:tc>
      </w:tr>
      <w:tr w:rsidR="00712EC0" w:rsidRPr="00712EC0" w14:paraId="7E298336" w14:textId="77777777" w:rsidTr="00D37FC3">
        <w:tc>
          <w:tcPr>
            <w:tcW w:w="7387" w:type="dxa"/>
          </w:tcPr>
          <w:p w14:paraId="7027BB19"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w:t>
            </w:r>
            <w:r w:rsidR="00712EC0">
              <w:rPr>
                <w:rFonts w:asciiTheme="minorHAnsi" w:hAnsiTheme="minorHAnsi" w:cstheme="minorHAnsi"/>
                <w:color w:val="auto"/>
                <w:sz w:val="21"/>
                <w:szCs w:val="21"/>
              </w:rPr>
              <w:t>………</w:t>
            </w:r>
            <w:r w:rsidRPr="00712EC0">
              <w:rPr>
                <w:rFonts w:asciiTheme="minorHAnsi" w:hAnsiTheme="minorHAnsi" w:cstheme="minorHAnsi"/>
                <w:color w:val="auto"/>
                <w:sz w:val="21"/>
                <w:szCs w:val="21"/>
              </w:rPr>
              <w:t>.men</w:t>
            </w:r>
          </w:p>
        </w:tc>
        <w:tc>
          <w:tcPr>
            <w:tcW w:w="1150" w:type="dxa"/>
          </w:tcPr>
          <w:p w14:paraId="3F418FF0"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80.6%</w:t>
            </w:r>
          </w:p>
        </w:tc>
        <w:tc>
          <w:tcPr>
            <w:tcW w:w="1244" w:type="dxa"/>
          </w:tcPr>
          <w:p w14:paraId="513BCCB8"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83.2%</w:t>
            </w:r>
          </w:p>
        </w:tc>
      </w:tr>
      <w:tr w:rsidR="00712EC0" w:rsidRPr="00712EC0" w14:paraId="36044E87" w14:textId="77777777" w:rsidTr="00D37FC3">
        <w:tc>
          <w:tcPr>
            <w:tcW w:w="7387" w:type="dxa"/>
          </w:tcPr>
          <w:p w14:paraId="199B9CB1"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w:t>
            </w:r>
            <w:r w:rsidR="00712EC0">
              <w:rPr>
                <w:rFonts w:asciiTheme="minorHAnsi" w:hAnsiTheme="minorHAnsi" w:cstheme="minorHAnsi"/>
                <w:color w:val="auto"/>
                <w:sz w:val="21"/>
                <w:szCs w:val="21"/>
              </w:rPr>
              <w:t>……….</w:t>
            </w:r>
            <w:r w:rsidRPr="00712EC0">
              <w:rPr>
                <w:rFonts w:asciiTheme="minorHAnsi" w:hAnsiTheme="minorHAnsi" w:cstheme="minorHAnsi"/>
                <w:color w:val="auto"/>
                <w:sz w:val="21"/>
                <w:szCs w:val="21"/>
              </w:rPr>
              <w:t xml:space="preserve">women </w:t>
            </w:r>
          </w:p>
        </w:tc>
        <w:tc>
          <w:tcPr>
            <w:tcW w:w="1150" w:type="dxa"/>
          </w:tcPr>
          <w:p w14:paraId="01D6DF56"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71.5%</w:t>
            </w:r>
          </w:p>
        </w:tc>
        <w:tc>
          <w:tcPr>
            <w:tcW w:w="1244" w:type="dxa"/>
          </w:tcPr>
          <w:p w14:paraId="2B42A017"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78.6%</w:t>
            </w:r>
          </w:p>
        </w:tc>
      </w:tr>
      <w:tr w:rsidR="00712EC0" w:rsidRPr="00712EC0" w14:paraId="046FC9A6" w14:textId="77777777" w:rsidTr="00D37FC3">
        <w:tc>
          <w:tcPr>
            <w:tcW w:w="7387" w:type="dxa"/>
          </w:tcPr>
          <w:p w14:paraId="5E45560D"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w:t>
            </w:r>
            <w:r w:rsidR="00712EC0">
              <w:rPr>
                <w:rFonts w:asciiTheme="minorHAnsi" w:hAnsiTheme="minorHAnsi" w:cstheme="minorHAnsi"/>
                <w:color w:val="auto"/>
                <w:sz w:val="21"/>
                <w:szCs w:val="21"/>
              </w:rPr>
              <w:t>…</w:t>
            </w:r>
            <w:r w:rsidRPr="00712EC0">
              <w:rPr>
                <w:rFonts w:asciiTheme="minorHAnsi" w:hAnsiTheme="minorHAnsi" w:cstheme="minorHAnsi"/>
                <w:color w:val="auto"/>
                <w:sz w:val="21"/>
                <w:szCs w:val="21"/>
              </w:rPr>
              <w:t>…upper secondary &amp; post-secondary non-tertiary education - general</w:t>
            </w:r>
          </w:p>
        </w:tc>
        <w:tc>
          <w:tcPr>
            <w:tcW w:w="1150" w:type="dxa"/>
          </w:tcPr>
          <w:p w14:paraId="250315BA"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63.6%</w:t>
            </w:r>
          </w:p>
        </w:tc>
        <w:tc>
          <w:tcPr>
            <w:tcW w:w="1244" w:type="dxa"/>
          </w:tcPr>
          <w:p w14:paraId="026554B8"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62.8%</w:t>
            </w:r>
          </w:p>
        </w:tc>
      </w:tr>
      <w:tr w:rsidR="00712EC0" w:rsidRPr="00712EC0" w14:paraId="523F0291" w14:textId="77777777" w:rsidTr="00D37FC3">
        <w:tc>
          <w:tcPr>
            <w:tcW w:w="7387" w:type="dxa"/>
          </w:tcPr>
          <w:p w14:paraId="4F979EA0"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w:t>
            </w:r>
            <w:r w:rsidR="00712EC0">
              <w:rPr>
                <w:rFonts w:asciiTheme="minorHAnsi" w:hAnsiTheme="minorHAnsi" w:cstheme="minorHAnsi"/>
                <w:color w:val="auto"/>
                <w:sz w:val="21"/>
                <w:szCs w:val="21"/>
              </w:rPr>
              <w:t>…</w:t>
            </w:r>
            <w:r w:rsidRPr="00712EC0">
              <w:rPr>
                <w:rFonts w:asciiTheme="minorHAnsi" w:hAnsiTheme="minorHAnsi" w:cstheme="minorHAnsi"/>
                <w:color w:val="auto"/>
                <w:sz w:val="21"/>
                <w:szCs w:val="21"/>
              </w:rPr>
              <w:t>…upper secondary &amp; post-secondary non-tertiary education - vocational</w:t>
            </w:r>
          </w:p>
        </w:tc>
        <w:tc>
          <w:tcPr>
            <w:tcW w:w="1150" w:type="dxa"/>
          </w:tcPr>
          <w:p w14:paraId="06AD4F3D"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67.7%</w:t>
            </w:r>
          </w:p>
        </w:tc>
        <w:tc>
          <w:tcPr>
            <w:tcW w:w="1244" w:type="dxa"/>
          </w:tcPr>
          <w:p w14:paraId="41C589A9"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79.1%</w:t>
            </w:r>
          </w:p>
        </w:tc>
      </w:tr>
      <w:tr w:rsidR="00712EC0" w:rsidRPr="00712EC0" w14:paraId="43A59C20" w14:textId="77777777" w:rsidTr="00D37FC3">
        <w:tc>
          <w:tcPr>
            <w:tcW w:w="7387" w:type="dxa"/>
          </w:tcPr>
          <w:p w14:paraId="56525D46"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w:t>
            </w:r>
            <w:r w:rsidR="00712EC0">
              <w:rPr>
                <w:rFonts w:asciiTheme="minorHAnsi" w:hAnsiTheme="minorHAnsi" w:cstheme="minorHAnsi"/>
                <w:color w:val="auto"/>
                <w:sz w:val="21"/>
                <w:szCs w:val="21"/>
              </w:rPr>
              <w:t>…</w:t>
            </w:r>
            <w:r w:rsidRPr="00712EC0">
              <w:rPr>
                <w:rFonts w:asciiTheme="minorHAnsi" w:hAnsiTheme="minorHAnsi" w:cstheme="minorHAnsi"/>
                <w:color w:val="auto"/>
                <w:sz w:val="21"/>
                <w:szCs w:val="21"/>
              </w:rPr>
              <w:t>…tertiary education</w:t>
            </w:r>
          </w:p>
        </w:tc>
        <w:tc>
          <w:tcPr>
            <w:tcW w:w="1150" w:type="dxa"/>
          </w:tcPr>
          <w:p w14:paraId="30D13626"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87.6%</w:t>
            </w:r>
          </w:p>
        </w:tc>
        <w:tc>
          <w:tcPr>
            <w:tcW w:w="1244" w:type="dxa"/>
          </w:tcPr>
          <w:p w14:paraId="651722F9" w14:textId="77777777" w:rsidR="00A840F1" w:rsidRPr="00712EC0" w:rsidRDefault="00A840F1" w:rsidP="00712EC0">
            <w:pPr>
              <w:spacing w:before="0" w:after="0"/>
              <w:rPr>
                <w:rFonts w:asciiTheme="minorHAnsi" w:hAnsiTheme="minorHAnsi" w:cstheme="minorHAnsi"/>
                <w:color w:val="auto"/>
                <w:sz w:val="21"/>
                <w:szCs w:val="21"/>
              </w:rPr>
            </w:pPr>
            <w:r w:rsidRPr="00712EC0">
              <w:rPr>
                <w:rFonts w:asciiTheme="minorHAnsi" w:hAnsiTheme="minorHAnsi" w:cstheme="minorHAnsi"/>
                <w:color w:val="auto"/>
                <w:sz w:val="21"/>
                <w:szCs w:val="21"/>
              </w:rPr>
              <w:t>85%</w:t>
            </w:r>
          </w:p>
        </w:tc>
      </w:tr>
    </w:tbl>
    <w:p w14:paraId="43634028" w14:textId="77777777" w:rsidR="00A840F1" w:rsidRPr="00712EC0" w:rsidRDefault="00A840F1" w:rsidP="00712EC0">
      <w:pPr>
        <w:spacing w:before="0" w:after="0"/>
        <w:jc w:val="both"/>
        <w:rPr>
          <w:rFonts w:asciiTheme="minorHAnsi" w:hAnsiTheme="minorHAnsi" w:cstheme="minorHAnsi"/>
          <w:color w:val="auto"/>
          <w:sz w:val="21"/>
          <w:szCs w:val="21"/>
        </w:rPr>
      </w:pPr>
    </w:p>
    <w:p w14:paraId="51A111C7" w14:textId="77777777" w:rsidR="00A840F1" w:rsidRPr="00712EC0" w:rsidRDefault="00A840F1" w:rsidP="00712EC0">
      <w:pPr>
        <w:spacing w:before="0" w:after="0"/>
        <w:jc w:val="both"/>
        <w:rPr>
          <w:rFonts w:asciiTheme="minorHAnsi" w:hAnsiTheme="minorHAnsi" w:cstheme="minorHAnsi"/>
          <w:color w:val="auto"/>
          <w:sz w:val="21"/>
          <w:szCs w:val="21"/>
        </w:rPr>
      </w:pPr>
      <w:r w:rsidRPr="00712EC0">
        <w:rPr>
          <w:rFonts w:asciiTheme="minorHAnsi" w:hAnsiTheme="minorHAnsi" w:cstheme="minorHAnsi"/>
          <w:color w:val="auto"/>
          <w:sz w:val="21"/>
          <w:szCs w:val="21"/>
        </w:rPr>
        <w:t xml:space="preserve">In Romania, there is a higher gender gap in employment of recent graduates than in EU, with men having a higher rate of employment than women by approximately 9%. The impact of educational attainment on employment is clear both in Romania and in the EU in general. In Romania, the employment rate of tertiary education recent graduates is higher by 20 to 25% than that of young graduates with upper secondary or post-secondary educational levels. </w:t>
      </w:r>
    </w:p>
    <w:p w14:paraId="2B33D191" w14:textId="77777777" w:rsidR="00A840F1" w:rsidRPr="00712EC0" w:rsidRDefault="00A840F1" w:rsidP="00712EC0">
      <w:pPr>
        <w:spacing w:before="0" w:after="0"/>
        <w:jc w:val="both"/>
        <w:rPr>
          <w:rFonts w:asciiTheme="minorHAnsi" w:hAnsiTheme="minorHAnsi" w:cstheme="minorHAnsi"/>
          <w:color w:val="auto"/>
          <w:sz w:val="21"/>
          <w:szCs w:val="21"/>
        </w:rPr>
      </w:pPr>
    </w:p>
    <w:p w14:paraId="7DFB6C15" w14:textId="77777777" w:rsidR="00A840F1" w:rsidRPr="00712EC0" w:rsidRDefault="00A840F1" w:rsidP="00712EC0">
      <w:pPr>
        <w:pStyle w:val="ListParagraph"/>
        <w:spacing w:after="0" w:line="240" w:lineRule="auto"/>
        <w:ind w:left="0"/>
        <w:jc w:val="both"/>
        <w:rPr>
          <w:rFonts w:cstheme="minorHAnsi"/>
          <w:sz w:val="21"/>
          <w:szCs w:val="21"/>
        </w:rPr>
      </w:pPr>
      <w:r w:rsidRPr="00712EC0">
        <w:rPr>
          <w:rFonts w:cstheme="minorHAnsi"/>
          <w:b/>
          <w:sz w:val="21"/>
          <w:szCs w:val="21"/>
        </w:rPr>
        <w:t>PISA (</w:t>
      </w:r>
      <w:proofErr w:type="spellStart"/>
      <w:r w:rsidRPr="00712EC0">
        <w:rPr>
          <w:rFonts w:cstheme="minorHAnsi"/>
          <w:b/>
          <w:sz w:val="21"/>
          <w:szCs w:val="21"/>
        </w:rPr>
        <w:t>Programme</w:t>
      </w:r>
      <w:proofErr w:type="spellEnd"/>
      <w:r w:rsidRPr="00712EC0">
        <w:rPr>
          <w:rFonts w:cstheme="minorHAnsi"/>
          <w:b/>
          <w:sz w:val="21"/>
          <w:szCs w:val="21"/>
        </w:rPr>
        <w:t xml:space="preserve"> for International Student Assessment)</w:t>
      </w:r>
      <w:r w:rsidRPr="00712EC0">
        <w:rPr>
          <w:rFonts w:cstheme="minorHAnsi"/>
          <w:sz w:val="21"/>
          <w:szCs w:val="21"/>
        </w:rPr>
        <w:t xml:space="preserve"> is the well-known evaluation program coordinated by OECD, in which 15-year-old students’ abilities in reading, mathematics and science are periodically examined. Selected highlights from the 2018 test results are summarized below: </w:t>
      </w:r>
    </w:p>
    <w:p w14:paraId="316E5B9D" w14:textId="77777777" w:rsidR="00A840F1" w:rsidRPr="00712EC0" w:rsidRDefault="00A840F1" w:rsidP="00712EC0">
      <w:pPr>
        <w:pStyle w:val="ListParagraph"/>
        <w:spacing w:after="0" w:line="240" w:lineRule="auto"/>
        <w:ind w:left="0"/>
        <w:jc w:val="both"/>
        <w:rPr>
          <w:rFonts w:cstheme="minorHAnsi"/>
          <w:sz w:val="21"/>
          <w:szCs w:val="21"/>
        </w:rPr>
      </w:pPr>
    </w:p>
    <w:p w14:paraId="71BD64C8" w14:textId="77777777" w:rsidR="00A840F1" w:rsidRPr="00712EC0" w:rsidRDefault="00A840F1" w:rsidP="00712EC0">
      <w:pPr>
        <w:pStyle w:val="Default"/>
        <w:jc w:val="both"/>
        <w:rPr>
          <w:rFonts w:asciiTheme="minorHAnsi" w:hAnsiTheme="minorHAnsi" w:cstheme="minorHAnsi"/>
          <w:color w:val="auto"/>
          <w:sz w:val="21"/>
          <w:szCs w:val="21"/>
        </w:rPr>
      </w:pPr>
      <w:r w:rsidRPr="00712EC0">
        <w:rPr>
          <w:rFonts w:asciiTheme="minorHAnsi" w:hAnsiTheme="minorHAnsi" w:cstheme="minorHAnsi"/>
          <w:color w:val="auto"/>
          <w:sz w:val="21"/>
          <w:szCs w:val="21"/>
        </w:rPr>
        <w:t>“Amongst high-performing students in mathematics or science, one in eight boys in Romania expect to work as an engineer or science professional at the age of 30, while one in nine girls expects to do so (the difference is not statistically significant). About one in three high-performing girls expects to work in health-related professions, while fewer than one in ten high-performing boys expect to do so. Some 14% of boys and 2% of girls in Romania expect to work in ICT-related professions.”</w:t>
      </w:r>
      <w:r w:rsidRPr="00712EC0">
        <w:rPr>
          <w:rStyle w:val="FootnoteReference"/>
          <w:rFonts w:asciiTheme="minorHAnsi" w:hAnsiTheme="minorHAnsi" w:cstheme="minorHAnsi"/>
          <w:color w:val="auto"/>
          <w:sz w:val="21"/>
          <w:szCs w:val="21"/>
        </w:rPr>
        <w:footnoteReference w:id="11"/>
      </w:r>
      <w:r w:rsidRPr="00712EC0">
        <w:rPr>
          <w:rFonts w:asciiTheme="minorHAnsi" w:hAnsiTheme="minorHAnsi" w:cstheme="minorHAnsi"/>
          <w:color w:val="auto"/>
          <w:sz w:val="21"/>
          <w:szCs w:val="21"/>
        </w:rPr>
        <w:t xml:space="preserve"> </w:t>
      </w:r>
    </w:p>
    <w:p w14:paraId="09D04931" w14:textId="77777777" w:rsidR="00A840F1" w:rsidRPr="00712EC0" w:rsidRDefault="00A840F1" w:rsidP="00712EC0">
      <w:pPr>
        <w:spacing w:before="0" w:after="0"/>
        <w:jc w:val="both"/>
        <w:rPr>
          <w:rFonts w:cstheme="minorHAnsi"/>
          <w:color w:val="auto"/>
          <w:sz w:val="21"/>
          <w:szCs w:val="21"/>
        </w:rPr>
      </w:pPr>
    </w:p>
    <w:p w14:paraId="16948C15" w14:textId="77777777" w:rsidR="00A840F1" w:rsidRPr="00712EC0" w:rsidRDefault="00A840F1" w:rsidP="00712EC0">
      <w:pPr>
        <w:pStyle w:val="Default"/>
        <w:jc w:val="both"/>
        <w:rPr>
          <w:rFonts w:asciiTheme="minorHAnsi" w:hAnsiTheme="minorHAnsi" w:cstheme="minorHAnsi"/>
          <w:color w:val="auto"/>
          <w:sz w:val="21"/>
          <w:szCs w:val="21"/>
        </w:rPr>
      </w:pPr>
      <w:r w:rsidRPr="00712EC0">
        <w:rPr>
          <w:rFonts w:asciiTheme="minorHAnsi" w:hAnsiTheme="minorHAnsi" w:cstheme="minorHAnsi"/>
          <w:color w:val="auto"/>
          <w:sz w:val="21"/>
          <w:szCs w:val="21"/>
        </w:rPr>
        <w:t>“Many students, especially disadvantaged students, hold lower ambitions than would be expected given their academic achievement. In Romania, about one in four high-achieving disadvantaged students – but about 1 in 30 high-achieving advantaged students – do not expect to complete tertiary education.”</w:t>
      </w:r>
      <w:r w:rsidRPr="00712EC0">
        <w:rPr>
          <w:rStyle w:val="FootnoteReference"/>
          <w:rFonts w:asciiTheme="minorHAnsi" w:hAnsiTheme="minorHAnsi" w:cstheme="minorHAnsi"/>
          <w:color w:val="auto"/>
          <w:sz w:val="21"/>
          <w:szCs w:val="21"/>
        </w:rPr>
        <w:footnoteReference w:id="12"/>
      </w:r>
      <w:r w:rsidRPr="00712EC0">
        <w:rPr>
          <w:rFonts w:asciiTheme="minorHAnsi" w:hAnsiTheme="minorHAnsi" w:cstheme="minorHAnsi"/>
          <w:color w:val="auto"/>
          <w:sz w:val="21"/>
          <w:szCs w:val="21"/>
        </w:rPr>
        <w:t xml:space="preserve"> </w:t>
      </w:r>
    </w:p>
    <w:p w14:paraId="5BCECCB5" w14:textId="77777777" w:rsidR="00A840F1" w:rsidRPr="00712EC0" w:rsidRDefault="00A840F1" w:rsidP="00712EC0">
      <w:pPr>
        <w:spacing w:before="0" w:after="0"/>
        <w:jc w:val="both"/>
        <w:rPr>
          <w:rFonts w:cstheme="minorHAnsi"/>
          <w:color w:val="auto"/>
          <w:sz w:val="21"/>
          <w:szCs w:val="21"/>
        </w:rPr>
      </w:pPr>
    </w:p>
    <w:p w14:paraId="279015BF" w14:textId="77777777" w:rsidR="00A840F1" w:rsidRDefault="00A840F1" w:rsidP="00712EC0">
      <w:pPr>
        <w:spacing w:before="0" w:after="0"/>
        <w:jc w:val="both"/>
        <w:rPr>
          <w:rFonts w:cstheme="minorHAnsi"/>
          <w:color w:val="auto"/>
          <w:sz w:val="21"/>
          <w:szCs w:val="21"/>
        </w:rPr>
      </w:pPr>
      <w:r w:rsidRPr="00712EC0">
        <w:rPr>
          <w:rFonts w:cstheme="minorHAnsi"/>
          <w:color w:val="auto"/>
          <w:sz w:val="21"/>
          <w:szCs w:val="21"/>
        </w:rPr>
        <w:lastRenderedPageBreak/>
        <w:t>The tables below are constructed on the basis of the information covered in the briefing PISA Country Note Romania.</w:t>
      </w:r>
    </w:p>
    <w:p w14:paraId="5D9EF9A1" w14:textId="77777777" w:rsidR="009E4255" w:rsidRPr="00712EC0" w:rsidRDefault="009E4255" w:rsidP="00712EC0">
      <w:pPr>
        <w:spacing w:before="0" w:after="0"/>
        <w:jc w:val="both"/>
        <w:rPr>
          <w:rFonts w:cstheme="minorHAnsi"/>
          <w:color w:val="auto"/>
          <w:sz w:val="21"/>
          <w:szCs w:val="21"/>
        </w:rPr>
      </w:pPr>
    </w:p>
    <w:p w14:paraId="36DB8D00" w14:textId="77777777" w:rsidR="00A840F1" w:rsidRPr="00712EC0" w:rsidRDefault="00A840F1" w:rsidP="00712EC0">
      <w:pPr>
        <w:spacing w:before="0" w:after="0"/>
        <w:jc w:val="both"/>
        <w:rPr>
          <w:rFonts w:cstheme="minorHAnsi"/>
          <w:color w:val="auto"/>
          <w:sz w:val="21"/>
          <w:szCs w:val="21"/>
        </w:rPr>
      </w:pPr>
    </w:p>
    <w:p w14:paraId="1FBD07FA" w14:textId="77777777" w:rsidR="00A840F1" w:rsidRPr="00A840F1" w:rsidRDefault="00A840F1" w:rsidP="00A840F1">
      <w:pPr>
        <w:spacing w:before="0" w:after="0"/>
        <w:jc w:val="both"/>
        <w:rPr>
          <w:rFonts w:asciiTheme="minorHAnsi" w:hAnsiTheme="minorHAnsi" w:cstheme="minorHAnsi"/>
          <w:color w:val="auto"/>
          <w:sz w:val="21"/>
          <w:szCs w:val="21"/>
        </w:rPr>
      </w:pPr>
      <w:r w:rsidRPr="00A840F1">
        <w:rPr>
          <w:rFonts w:cstheme="minorHAnsi"/>
          <w:b/>
          <w:color w:val="auto"/>
          <w:sz w:val="21"/>
          <w:szCs w:val="21"/>
        </w:rPr>
        <w:t xml:space="preserve"> </w:t>
      </w:r>
      <w:r w:rsidRPr="00A840F1">
        <w:rPr>
          <w:rFonts w:asciiTheme="minorHAnsi" w:hAnsiTheme="minorHAnsi" w:cstheme="minorHAnsi"/>
          <w:b/>
          <w:color w:val="auto"/>
          <w:sz w:val="21"/>
          <w:szCs w:val="21"/>
        </w:rPr>
        <w:t>Students’ performance at 2018 PISA test - comparison Romania - OECD</w:t>
      </w:r>
      <w:r w:rsidRPr="00A840F1">
        <w:rPr>
          <w:rStyle w:val="FootnoteReference"/>
          <w:rFonts w:asciiTheme="minorHAnsi" w:hAnsiTheme="minorHAnsi" w:cstheme="minorHAnsi"/>
          <w:color w:val="auto"/>
          <w:sz w:val="21"/>
          <w:szCs w:val="21"/>
        </w:rPr>
        <w:footnoteReference w:id="13"/>
      </w:r>
      <w:r w:rsidRPr="00A840F1">
        <w:rPr>
          <w:rFonts w:asciiTheme="minorHAnsi" w:hAnsiTheme="minorHAnsi" w:cstheme="minorHAnsi"/>
          <w:color w:val="auto"/>
          <w:sz w:val="21"/>
          <w:szCs w:val="21"/>
        </w:rPr>
        <w:t xml:space="preserve"> </w:t>
      </w:r>
    </w:p>
    <w:tbl>
      <w:tblPr>
        <w:tblStyle w:val="TableGrid"/>
        <w:tblW w:w="9639" w:type="dxa"/>
        <w:tblInd w:w="137" w:type="dxa"/>
        <w:tblLook w:val="04A0" w:firstRow="1" w:lastRow="0" w:firstColumn="1" w:lastColumn="0" w:noHBand="0" w:noVBand="1"/>
      </w:tblPr>
      <w:tblGrid>
        <w:gridCol w:w="7342"/>
        <w:gridCol w:w="1163"/>
        <w:gridCol w:w="1134"/>
      </w:tblGrid>
      <w:tr w:rsidR="00A840F1" w:rsidRPr="00A840F1" w14:paraId="498B34B8" w14:textId="77777777" w:rsidTr="00A840F1">
        <w:tc>
          <w:tcPr>
            <w:tcW w:w="7342" w:type="dxa"/>
          </w:tcPr>
          <w:p w14:paraId="31E7C688" w14:textId="77777777" w:rsidR="00A840F1" w:rsidRPr="00A840F1" w:rsidRDefault="00A840F1" w:rsidP="00A840F1">
            <w:pPr>
              <w:spacing w:before="0" w:after="0"/>
              <w:rPr>
                <w:rFonts w:asciiTheme="minorHAnsi" w:hAnsiTheme="minorHAnsi" w:cstheme="minorHAnsi"/>
                <w:color w:val="auto"/>
                <w:sz w:val="21"/>
                <w:szCs w:val="21"/>
              </w:rPr>
            </w:pPr>
          </w:p>
        </w:tc>
        <w:tc>
          <w:tcPr>
            <w:tcW w:w="1163" w:type="dxa"/>
          </w:tcPr>
          <w:p w14:paraId="23B8188A"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Romania</w:t>
            </w:r>
          </w:p>
        </w:tc>
        <w:tc>
          <w:tcPr>
            <w:tcW w:w="1134" w:type="dxa"/>
          </w:tcPr>
          <w:p w14:paraId="68922465"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OECD</w:t>
            </w:r>
          </w:p>
        </w:tc>
      </w:tr>
      <w:tr w:rsidR="00A840F1" w:rsidRPr="00A840F1" w14:paraId="34F9DCF4" w14:textId="77777777" w:rsidTr="00A840F1">
        <w:tc>
          <w:tcPr>
            <w:tcW w:w="7342" w:type="dxa"/>
          </w:tcPr>
          <w:p w14:paraId="7C72649C"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 xml:space="preserve">Percentage of students attaining at least level 2 proficiency in reading </w:t>
            </w:r>
          </w:p>
        </w:tc>
        <w:tc>
          <w:tcPr>
            <w:tcW w:w="1163" w:type="dxa"/>
          </w:tcPr>
          <w:p w14:paraId="4B8AB8D8"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59%</w:t>
            </w:r>
          </w:p>
        </w:tc>
        <w:tc>
          <w:tcPr>
            <w:tcW w:w="1134" w:type="dxa"/>
          </w:tcPr>
          <w:p w14:paraId="23E22032"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77%</w:t>
            </w:r>
          </w:p>
        </w:tc>
      </w:tr>
      <w:tr w:rsidR="00A840F1" w:rsidRPr="00A840F1" w14:paraId="33007A4F" w14:textId="77777777" w:rsidTr="00A840F1">
        <w:tc>
          <w:tcPr>
            <w:tcW w:w="7342" w:type="dxa"/>
          </w:tcPr>
          <w:p w14:paraId="709E5EB8"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 xml:space="preserve">Percentage of students attaining at least level 2 proficiency in mathematics  </w:t>
            </w:r>
          </w:p>
        </w:tc>
        <w:tc>
          <w:tcPr>
            <w:tcW w:w="1163" w:type="dxa"/>
          </w:tcPr>
          <w:p w14:paraId="06A4B022"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53%</w:t>
            </w:r>
          </w:p>
        </w:tc>
        <w:tc>
          <w:tcPr>
            <w:tcW w:w="1134" w:type="dxa"/>
          </w:tcPr>
          <w:p w14:paraId="7705C26B"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76%</w:t>
            </w:r>
          </w:p>
        </w:tc>
      </w:tr>
      <w:tr w:rsidR="00A840F1" w:rsidRPr="00A840F1" w14:paraId="2B722872" w14:textId="77777777" w:rsidTr="00A840F1">
        <w:tc>
          <w:tcPr>
            <w:tcW w:w="7342" w:type="dxa"/>
          </w:tcPr>
          <w:p w14:paraId="3460F0DB"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 xml:space="preserve">Percentage of students attaining at least level 2 proficiency in science  </w:t>
            </w:r>
          </w:p>
        </w:tc>
        <w:tc>
          <w:tcPr>
            <w:tcW w:w="1163" w:type="dxa"/>
          </w:tcPr>
          <w:p w14:paraId="0604D854"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56%</w:t>
            </w:r>
          </w:p>
        </w:tc>
        <w:tc>
          <w:tcPr>
            <w:tcW w:w="1134" w:type="dxa"/>
          </w:tcPr>
          <w:p w14:paraId="02EBCF08"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78%</w:t>
            </w:r>
          </w:p>
        </w:tc>
      </w:tr>
      <w:tr w:rsidR="00A840F1" w:rsidRPr="00A840F1" w14:paraId="00AB8B50" w14:textId="77777777" w:rsidTr="00A840F1">
        <w:tc>
          <w:tcPr>
            <w:tcW w:w="7342" w:type="dxa"/>
          </w:tcPr>
          <w:p w14:paraId="55865C48"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 xml:space="preserve">Percentage of top performers (level 5 or 6) in reading </w:t>
            </w:r>
          </w:p>
        </w:tc>
        <w:tc>
          <w:tcPr>
            <w:tcW w:w="1163" w:type="dxa"/>
          </w:tcPr>
          <w:p w14:paraId="1E8F0FD9"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w:t>
            </w:r>
          </w:p>
        </w:tc>
        <w:tc>
          <w:tcPr>
            <w:tcW w:w="1134" w:type="dxa"/>
          </w:tcPr>
          <w:p w14:paraId="715FBB91"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9%</w:t>
            </w:r>
          </w:p>
        </w:tc>
      </w:tr>
      <w:tr w:rsidR="00A840F1" w:rsidRPr="00A840F1" w14:paraId="77206467" w14:textId="77777777" w:rsidTr="00A840F1">
        <w:tc>
          <w:tcPr>
            <w:tcW w:w="7342" w:type="dxa"/>
          </w:tcPr>
          <w:p w14:paraId="500C2340" w14:textId="77777777" w:rsidR="00A840F1" w:rsidRPr="00A840F1" w:rsidRDefault="00A840F1" w:rsidP="00A840F1">
            <w:pPr>
              <w:spacing w:before="0" w:after="0"/>
              <w:ind w:left="-75" w:firstLine="75"/>
              <w:rPr>
                <w:rFonts w:asciiTheme="minorHAnsi" w:hAnsiTheme="minorHAnsi" w:cstheme="minorHAnsi"/>
                <w:color w:val="auto"/>
                <w:sz w:val="21"/>
                <w:szCs w:val="21"/>
              </w:rPr>
            </w:pPr>
            <w:r w:rsidRPr="00A840F1">
              <w:rPr>
                <w:rFonts w:asciiTheme="minorHAnsi" w:hAnsiTheme="minorHAnsi" w:cstheme="minorHAnsi"/>
                <w:color w:val="auto"/>
                <w:sz w:val="21"/>
                <w:szCs w:val="21"/>
              </w:rPr>
              <w:t>Percentage of top performers (level 5 or 6) in mathematics</w:t>
            </w:r>
          </w:p>
        </w:tc>
        <w:tc>
          <w:tcPr>
            <w:tcW w:w="1163" w:type="dxa"/>
          </w:tcPr>
          <w:p w14:paraId="7CB12803"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3%</w:t>
            </w:r>
          </w:p>
        </w:tc>
        <w:tc>
          <w:tcPr>
            <w:tcW w:w="1134" w:type="dxa"/>
          </w:tcPr>
          <w:p w14:paraId="3358F79F"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11%</w:t>
            </w:r>
          </w:p>
        </w:tc>
      </w:tr>
      <w:tr w:rsidR="00A840F1" w:rsidRPr="00A840F1" w14:paraId="257D618B" w14:textId="77777777" w:rsidTr="00A840F1">
        <w:tc>
          <w:tcPr>
            <w:tcW w:w="7342" w:type="dxa"/>
          </w:tcPr>
          <w:p w14:paraId="30B8B4DC"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 xml:space="preserve">Percentage of top performers (level 5 or 6) in science </w:t>
            </w:r>
          </w:p>
        </w:tc>
        <w:tc>
          <w:tcPr>
            <w:tcW w:w="1163" w:type="dxa"/>
          </w:tcPr>
          <w:p w14:paraId="38FF3610"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w:t>
            </w:r>
          </w:p>
        </w:tc>
        <w:tc>
          <w:tcPr>
            <w:tcW w:w="1134" w:type="dxa"/>
          </w:tcPr>
          <w:p w14:paraId="31C9CAFF"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7%</w:t>
            </w:r>
          </w:p>
        </w:tc>
      </w:tr>
    </w:tbl>
    <w:p w14:paraId="5613E138" w14:textId="77777777" w:rsidR="00A840F1" w:rsidRDefault="00A840F1" w:rsidP="00A840F1">
      <w:pPr>
        <w:spacing w:before="0" w:after="0"/>
        <w:jc w:val="both"/>
        <w:rPr>
          <w:rFonts w:asciiTheme="minorHAnsi" w:hAnsiTheme="minorHAnsi" w:cstheme="minorHAnsi"/>
          <w:color w:val="auto"/>
          <w:sz w:val="21"/>
          <w:szCs w:val="21"/>
        </w:rPr>
      </w:pPr>
    </w:p>
    <w:p w14:paraId="53B4055F" w14:textId="77777777" w:rsidR="009E4255" w:rsidRPr="00A840F1" w:rsidRDefault="009E4255" w:rsidP="00A840F1">
      <w:pPr>
        <w:spacing w:before="0" w:after="0"/>
        <w:jc w:val="both"/>
        <w:rPr>
          <w:rFonts w:asciiTheme="minorHAnsi" w:hAnsiTheme="minorHAnsi" w:cstheme="minorHAnsi"/>
          <w:color w:val="auto"/>
          <w:sz w:val="21"/>
          <w:szCs w:val="21"/>
        </w:rPr>
      </w:pPr>
    </w:p>
    <w:p w14:paraId="3C3EFA29" w14:textId="77777777" w:rsidR="00A840F1" w:rsidRPr="00A840F1" w:rsidRDefault="00A840F1" w:rsidP="00A840F1">
      <w:pPr>
        <w:spacing w:before="0" w:after="0"/>
        <w:jc w:val="both"/>
        <w:rPr>
          <w:rFonts w:asciiTheme="minorHAnsi" w:hAnsiTheme="minorHAnsi" w:cstheme="minorHAnsi"/>
          <w:color w:val="auto"/>
          <w:sz w:val="21"/>
          <w:szCs w:val="21"/>
        </w:rPr>
      </w:pPr>
      <w:r w:rsidRPr="00A840F1">
        <w:rPr>
          <w:rFonts w:asciiTheme="minorHAnsi" w:hAnsiTheme="minorHAnsi" w:cstheme="minorHAnsi"/>
          <w:b/>
          <w:color w:val="auto"/>
          <w:sz w:val="21"/>
          <w:szCs w:val="21"/>
        </w:rPr>
        <w:t xml:space="preserve"> The impact of socio-economic status on students’ test performance – comparison Romania - OECD</w:t>
      </w:r>
      <w:r w:rsidRPr="00A840F1">
        <w:rPr>
          <w:rStyle w:val="FootnoteReference"/>
          <w:rFonts w:asciiTheme="minorHAnsi" w:hAnsiTheme="minorHAnsi" w:cstheme="minorHAnsi"/>
          <w:color w:val="auto"/>
          <w:sz w:val="21"/>
          <w:szCs w:val="21"/>
        </w:rPr>
        <w:footnoteReference w:id="14"/>
      </w:r>
    </w:p>
    <w:tbl>
      <w:tblPr>
        <w:tblStyle w:val="TableGrid"/>
        <w:tblW w:w="9639" w:type="dxa"/>
        <w:tblInd w:w="108" w:type="dxa"/>
        <w:tblLook w:val="04A0" w:firstRow="1" w:lastRow="0" w:firstColumn="1" w:lastColumn="0" w:noHBand="0" w:noVBand="1"/>
      </w:tblPr>
      <w:tblGrid>
        <w:gridCol w:w="7371"/>
        <w:gridCol w:w="1163"/>
        <w:gridCol w:w="1105"/>
      </w:tblGrid>
      <w:tr w:rsidR="00A840F1" w:rsidRPr="00A840F1" w14:paraId="26B78ECB" w14:textId="77777777" w:rsidTr="00D37FC3">
        <w:tc>
          <w:tcPr>
            <w:tcW w:w="7371" w:type="dxa"/>
          </w:tcPr>
          <w:p w14:paraId="570FB8E8" w14:textId="77777777" w:rsidR="00A840F1" w:rsidRPr="00A840F1" w:rsidRDefault="00A840F1" w:rsidP="00A840F1">
            <w:pPr>
              <w:spacing w:before="0" w:after="0"/>
              <w:rPr>
                <w:rFonts w:asciiTheme="minorHAnsi" w:hAnsiTheme="minorHAnsi" w:cstheme="minorHAnsi"/>
                <w:color w:val="auto"/>
                <w:sz w:val="21"/>
                <w:szCs w:val="21"/>
              </w:rPr>
            </w:pPr>
          </w:p>
        </w:tc>
        <w:tc>
          <w:tcPr>
            <w:tcW w:w="1163" w:type="dxa"/>
          </w:tcPr>
          <w:p w14:paraId="11357719"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Romania</w:t>
            </w:r>
          </w:p>
        </w:tc>
        <w:tc>
          <w:tcPr>
            <w:tcW w:w="1105" w:type="dxa"/>
          </w:tcPr>
          <w:p w14:paraId="4B26B341"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OECD</w:t>
            </w:r>
          </w:p>
        </w:tc>
      </w:tr>
      <w:tr w:rsidR="00A840F1" w:rsidRPr="00A840F1" w14:paraId="1C2D8349" w14:textId="77777777" w:rsidTr="00D37FC3">
        <w:tc>
          <w:tcPr>
            <w:tcW w:w="7371" w:type="dxa"/>
          </w:tcPr>
          <w:p w14:paraId="6AEDD4D7"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 xml:space="preserve">Score points difference between socio-economically advantaged students and disadvantaged students </w:t>
            </w:r>
          </w:p>
        </w:tc>
        <w:tc>
          <w:tcPr>
            <w:tcW w:w="1163" w:type="dxa"/>
          </w:tcPr>
          <w:p w14:paraId="410B26CE"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109</w:t>
            </w:r>
          </w:p>
        </w:tc>
        <w:tc>
          <w:tcPr>
            <w:tcW w:w="1105" w:type="dxa"/>
          </w:tcPr>
          <w:p w14:paraId="63DC797C"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89</w:t>
            </w:r>
          </w:p>
        </w:tc>
      </w:tr>
      <w:tr w:rsidR="00A840F1" w:rsidRPr="00A840F1" w14:paraId="73B3AFB4" w14:textId="77777777" w:rsidTr="00D37FC3">
        <w:tc>
          <w:tcPr>
            <w:tcW w:w="7371" w:type="dxa"/>
          </w:tcPr>
          <w:p w14:paraId="191236F4"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 xml:space="preserve">Predictive strength of socio-economic status for explaining students’ performance in math test </w:t>
            </w:r>
          </w:p>
        </w:tc>
        <w:tc>
          <w:tcPr>
            <w:tcW w:w="1163" w:type="dxa"/>
          </w:tcPr>
          <w:p w14:paraId="6AD2E14A"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19%</w:t>
            </w:r>
          </w:p>
        </w:tc>
        <w:tc>
          <w:tcPr>
            <w:tcW w:w="1105" w:type="dxa"/>
          </w:tcPr>
          <w:p w14:paraId="3719CBFE"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14%</w:t>
            </w:r>
          </w:p>
        </w:tc>
      </w:tr>
      <w:tr w:rsidR="00A840F1" w:rsidRPr="00A840F1" w14:paraId="6D02E6C6" w14:textId="77777777" w:rsidTr="00D37FC3">
        <w:tc>
          <w:tcPr>
            <w:tcW w:w="7371" w:type="dxa"/>
          </w:tcPr>
          <w:p w14:paraId="4F6883D3"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Predictive strength of socio-economic status for explaining students’ performance in science test</w:t>
            </w:r>
          </w:p>
        </w:tc>
        <w:tc>
          <w:tcPr>
            <w:tcW w:w="1163" w:type="dxa"/>
          </w:tcPr>
          <w:p w14:paraId="7796242B"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16%</w:t>
            </w:r>
          </w:p>
        </w:tc>
        <w:tc>
          <w:tcPr>
            <w:tcW w:w="1105" w:type="dxa"/>
          </w:tcPr>
          <w:p w14:paraId="55F682C0"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13%</w:t>
            </w:r>
          </w:p>
        </w:tc>
      </w:tr>
      <w:tr w:rsidR="00A840F1" w:rsidRPr="00A840F1" w14:paraId="56B498B3" w14:textId="77777777" w:rsidTr="00D37FC3">
        <w:tc>
          <w:tcPr>
            <w:tcW w:w="7371" w:type="dxa"/>
          </w:tcPr>
          <w:p w14:paraId="235C30C5"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 xml:space="preserve">Percentage of disadvantaged students able to score in the top quarter of reading performance </w:t>
            </w:r>
          </w:p>
        </w:tc>
        <w:tc>
          <w:tcPr>
            <w:tcW w:w="1163" w:type="dxa"/>
          </w:tcPr>
          <w:p w14:paraId="22C7AC57"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9%</w:t>
            </w:r>
          </w:p>
        </w:tc>
        <w:tc>
          <w:tcPr>
            <w:tcW w:w="1105" w:type="dxa"/>
          </w:tcPr>
          <w:p w14:paraId="612B56FA"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11%</w:t>
            </w:r>
          </w:p>
        </w:tc>
      </w:tr>
    </w:tbl>
    <w:p w14:paraId="6952E9BC" w14:textId="77777777" w:rsidR="00A840F1" w:rsidRDefault="00A840F1" w:rsidP="00A840F1">
      <w:pPr>
        <w:spacing w:before="0" w:after="0"/>
        <w:jc w:val="both"/>
        <w:rPr>
          <w:rFonts w:asciiTheme="minorHAnsi" w:hAnsiTheme="minorHAnsi" w:cstheme="minorHAnsi"/>
          <w:b/>
          <w:color w:val="auto"/>
          <w:sz w:val="21"/>
          <w:szCs w:val="21"/>
        </w:rPr>
      </w:pPr>
    </w:p>
    <w:p w14:paraId="2CDDC1EA" w14:textId="77777777" w:rsidR="009E4255" w:rsidRPr="00A840F1" w:rsidRDefault="009E4255" w:rsidP="00A840F1">
      <w:pPr>
        <w:spacing w:before="0" w:after="0"/>
        <w:jc w:val="both"/>
        <w:rPr>
          <w:rFonts w:asciiTheme="minorHAnsi" w:hAnsiTheme="minorHAnsi" w:cstheme="minorHAnsi"/>
          <w:b/>
          <w:color w:val="auto"/>
          <w:sz w:val="21"/>
          <w:szCs w:val="21"/>
        </w:rPr>
      </w:pPr>
    </w:p>
    <w:p w14:paraId="52650812" w14:textId="77777777" w:rsidR="00A840F1" w:rsidRPr="00A840F1" w:rsidRDefault="00A840F1" w:rsidP="00A840F1">
      <w:pPr>
        <w:spacing w:before="0" w:after="0"/>
        <w:jc w:val="both"/>
        <w:rPr>
          <w:rFonts w:asciiTheme="minorHAnsi" w:hAnsiTheme="minorHAnsi" w:cstheme="minorHAnsi"/>
          <w:b/>
          <w:color w:val="auto"/>
          <w:sz w:val="21"/>
          <w:szCs w:val="21"/>
        </w:rPr>
      </w:pPr>
      <w:r w:rsidRPr="00A840F1">
        <w:rPr>
          <w:rFonts w:asciiTheme="minorHAnsi" w:hAnsiTheme="minorHAnsi" w:cstheme="minorHAnsi"/>
          <w:b/>
          <w:color w:val="auto"/>
          <w:sz w:val="21"/>
          <w:szCs w:val="21"/>
        </w:rPr>
        <w:t xml:space="preserve"> Gender and PISA test performance - comparison Romania - OECD</w:t>
      </w:r>
      <w:r w:rsidRPr="00A840F1">
        <w:rPr>
          <w:rStyle w:val="FootnoteReference"/>
          <w:rFonts w:asciiTheme="minorHAnsi" w:hAnsiTheme="minorHAnsi" w:cstheme="minorHAnsi"/>
          <w:b/>
          <w:color w:val="auto"/>
          <w:sz w:val="21"/>
          <w:szCs w:val="21"/>
        </w:rPr>
        <w:t xml:space="preserve"> </w:t>
      </w:r>
      <w:r w:rsidRPr="00A840F1">
        <w:rPr>
          <w:rStyle w:val="FootnoteReference"/>
          <w:rFonts w:asciiTheme="minorHAnsi" w:hAnsiTheme="minorHAnsi" w:cstheme="minorHAnsi"/>
          <w:b/>
          <w:color w:val="auto"/>
          <w:sz w:val="21"/>
          <w:szCs w:val="21"/>
        </w:rPr>
        <w:footnoteReference w:id="15"/>
      </w:r>
    </w:p>
    <w:tbl>
      <w:tblPr>
        <w:tblStyle w:val="TableGrid"/>
        <w:tblW w:w="9639" w:type="dxa"/>
        <w:tblInd w:w="108" w:type="dxa"/>
        <w:tblLook w:val="04A0" w:firstRow="1" w:lastRow="0" w:firstColumn="1" w:lastColumn="0" w:noHBand="0" w:noVBand="1"/>
      </w:tblPr>
      <w:tblGrid>
        <w:gridCol w:w="7371"/>
        <w:gridCol w:w="1163"/>
        <w:gridCol w:w="1105"/>
      </w:tblGrid>
      <w:tr w:rsidR="00A840F1" w:rsidRPr="00A840F1" w14:paraId="5E7A8BF7" w14:textId="77777777" w:rsidTr="00D37FC3">
        <w:tc>
          <w:tcPr>
            <w:tcW w:w="7371" w:type="dxa"/>
          </w:tcPr>
          <w:p w14:paraId="08F3811F" w14:textId="77777777" w:rsidR="00A840F1" w:rsidRPr="00A840F1" w:rsidRDefault="00A840F1" w:rsidP="00A840F1">
            <w:pPr>
              <w:spacing w:before="0" w:after="0"/>
              <w:rPr>
                <w:rFonts w:asciiTheme="minorHAnsi" w:hAnsiTheme="minorHAnsi" w:cstheme="minorHAnsi"/>
                <w:color w:val="auto"/>
                <w:sz w:val="21"/>
                <w:szCs w:val="21"/>
              </w:rPr>
            </w:pPr>
          </w:p>
        </w:tc>
        <w:tc>
          <w:tcPr>
            <w:tcW w:w="1163" w:type="dxa"/>
          </w:tcPr>
          <w:p w14:paraId="00AD28EE"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Romania</w:t>
            </w:r>
          </w:p>
        </w:tc>
        <w:tc>
          <w:tcPr>
            <w:tcW w:w="1105" w:type="dxa"/>
          </w:tcPr>
          <w:p w14:paraId="0E07DB73"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OECD</w:t>
            </w:r>
          </w:p>
        </w:tc>
      </w:tr>
      <w:tr w:rsidR="00A840F1" w:rsidRPr="00A840F1" w14:paraId="3A20C95C" w14:textId="77777777" w:rsidTr="00D37FC3">
        <w:trPr>
          <w:trHeight w:val="53"/>
        </w:trPr>
        <w:tc>
          <w:tcPr>
            <w:tcW w:w="7371" w:type="dxa"/>
          </w:tcPr>
          <w:p w14:paraId="1E58691F"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Score points difference between girls’ and boys’ results in the 2018 reading test</w:t>
            </w:r>
          </w:p>
        </w:tc>
        <w:tc>
          <w:tcPr>
            <w:tcW w:w="1163" w:type="dxa"/>
          </w:tcPr>
          <w:p w14:paraId="40C59916"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34 pts.</w:t>
            </w:r>
          </w:p>
        </w:tc>
        <w:tc>
          <w:tcPr>
            <w:tcW w:w="1105" w:type="dxa"/>
          </w:tcPr>
          <w:p w14:paraId="778EBE20"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30 pts.</w:t>
            </w:r>
          </w:p>
        </w:tc>
      </w:tr>
    </w:tbl>
    <w:p w14:paraId="16D9B274" w14:textId="77777777" w:rsidR="00A840F1" w:rsidRDefault="00A840F1" w:rsidP="00A840F1">
      <w:pPr>
        <w:spacing w:before="0" w:after="0"/>
        <w:jc w:val="both"/>
        <w:rPr>
          <w:rFonts w:asciiTheme="minorHAnsi" w:hAnsiTheme="minorHAnsi" w:cstheme="minorHAnsi"/>
          <w:color w:val="auto"/>
          <w:sz w:val="21"/>
          <w:szCs w:val="21"/>
        </w:rPr>
      </w:pPr>
    </w:p>
    <w:p w14:paraId="389FD26D" w14:textId="77777777" w:rsidR="009E4255" w:rsidRPr="00A840F1" w:rsidRDefault="009E4255" w:rsidP="00A840F1">
      <w:pPr>
        <w:spacing w:before="0" w:after="0"/>
        <w:jc w:val="both"/>
        <w:rPr>
          <w:rFonts w:asciiTheme="minorHAnsi" w:hAnsiTheme="minorHAnsi" w:cstheme="minorHAnsi"/>
          <w:color w:val="auto"/>
          <w:sz w:val="21"/>
          <w:szCs w:val="21"/>
        </w:rPr>
      </w:pPr>
    </w:p>
    <w:p w14:paraId="6658619C" w14:textId="77777777" w:rsidR="00A840F1" w:rsidRPr="00A840F1" w:rsidRDefault="00A840F1" w:rsidP="00A840F1">
      <w:pPr>
        <w:spacing w:before="0" w:after="0"/>
        <w:jc w:val="both"/>
        <w:rPr>
          <w:rFonts w:asciiTheme="minorHAnsi" w:hAnsiTheme="minorHAnsi" w:cstheme="minorHAnsi"/>
          <w:b/>
          <w:color w:val="auto"/>
          <w:sz w:val="21"/>
          <w:szCs w:val="21"/>
        </w:rPr>
      </w:pPr>
      <w:r w:rsidRPr="00A840F1">
        <w:rPr>
          <w:rFonts w:asciiTheme="minorHAnsi" w:hAnsiTheme="minorHAnsi" w:cstheme="minorHAnsi"/>
          <w:b/>
          <w:color w:val="auto"/>
          <w:sz w:val="21"/>
          <w:szCs w:val="21"/>
        </w:rPr>
        <w:t xml:space="preserve"> School climate - comparison Romania - OECD</w:t>
      </w:r>
      <w:r w:rsidRPr="00A840F1">
        <w:rPr>
          <w:rStyle w:val="FootnoteReference"/>
          <w:rFonts w:asciiTheme="minorHAnsi" w:hAnsiTheme="minorHAnsi" w:cstheme="minorHAnsi"/>
          <w:b/>
          <w:color w:val="auto"/>
          <w:sz w:val="21"/>
          <w:szCs w:val="21"/>
        </w:rPr>
        <w:t xml:space="preserve"> </w:t>
      </w:r>
      <w:r w:rsidRPr="00A840F1">
        <w:rPr>
          <w:rStyle w:val="FootnoteReference"/>
          <w:rFonts w:asciiTheme="minorHAnsi" w:hAnsiTheme="minorHAnsi" w:cstheme="minorHAnsi"/>
          <w:b/>
          <w:color w:val="auto"/>
          <w:sz w:val="21"/>
          <w:szCs w:val="21"/>
        </w:rPr>
        <w:footnoteReference w:id="16"/>
      </w:r>
    </w:p>
    <w:tbl>
      <w:tblPr>
        <w:tblStyle w:val="TableGrid"/>
        <w:tblW w:w="9639" w:type="dxa"/>
        <w:tblInd w:w="108" w:type="dxa"/>
        <w:tblLook w:val="04A0" w:firstRow="1" w:lastRow="0" w:firstColumn="1" w:lastColumn="0" w:noHBand="0" w:noVBand="1"/>
      </w:tblPr>
      <w:tblGrid>
        <w:gridCol w:w="7400"/>
        <w:gridCol w:w="1134"/>
        <w:gridCol w:w="1105"/>
      </w:tblGrid>
      <w:tr w:rsidR="00A840F1" w:rsidRPr="00A840F1" w14:paraId="719FFBCB" w14:textId="77777777" w:rsidTr="00A840F1">
        <w:tc>
          <w:tcPr>
            <w:tcW w:w="7400" w:type="dxa"/>
          </w:tcPr>
          <w:p w14:paraId="67A5787C" w14:textId="77777777" w:rsidR="00A840F1" w:rsidRPr="00A840F1" w:rsidRDefault="00A840F1" w:rsidP="00A840F1">
            <w:pPr>
              <w:spacing w:before="0" w:after="0"/>
              <w:rPr>
                <w:rFonts w:asciiTheme="minorHAnsi" w:hAnsiTheme="minorHAnsi" w:cstheme="minorHAnsi"/>
                <w:color w:val="auto"/>
                <w:sz w:val="21"/>
                <w:szCs w:val="21"/>
              </w:rPr>
            </w:pPr>
          </w:p>
        </w:tc>
        <w:tc>
          <w:tcPr>
            <w:tcW w:w="1134" w:type="dxa"/>
          </w:tcPr>
          <w:p w14:paraId="520C0C94"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Romania</w:t>
            </w:r>
          </w:p>
        </w:tc>
        <w:tc>
          <w:tcPr>
            <w:tcW w:w="1105" w:type="dxa"/>
          </w:tcPr>
          <w:p w14:paraId="334B7A4F"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OECD</w:t>
            </w:r>
          </w:p>
        </w:tc>
      </w:tr>
      <w:tr w:rsidR="00A840F1" w:rsidRPr="00A840F1" w14:paraId="76B03027" w14:textId="77777777" w:rsidTr="00A840F1">
        <w:tc>
          <w:tcPr>
            <w:tcW w:w="7400" w:type="dxa"/>
          </w:tcPr>
          <w:p w14:paraId="218B8572"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 xml:space="preserve">Students who report having been bullied at least a few times a month </w:t>
            </w:r>
          </w:p>
        </w:tc>
        <w:tc>
          <w:tcPr>
            <w:tcW w:w="1134" w:type="dxa"/>
          </w:tcPr>
          <w:p w14:paraId="008B3312"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34%</w:t>
            </w:r>
          </w:p>
        </w:tc>
        <w:tc>
          <w:tcPr>
            <w:tcW w:w="1105" w:type="dxa"/>
          </w:tcPr>
          <w:p w14:paraId="7732E60B"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23%</w:t>
            </w:r>
          </w:p>
        </w:tc>
      </w:tr>
      <w:tr w:rsidR="00A840F1" w:rsidRPr="00A840F1" w14:paraId="5A9CFCBA" w14:textId="77777777" w:rsidTr="00A840F1">
        <w:tc>
          <w:tcPr>
            <w:tcW w:w="7400" w:type="dxa"/>
          </w:tcPr>
          <w:p w14:paraId="60342CCC"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Students who skipped a day of school in the two weeks prior to PISA test</w:t>
            </w:r>
          </w:p>
        </w:tc>
        <w:tc>
          <w:tcPr>
            <w:tcW w:w="1134" w:type="dxa"/>
          </w:tcPr>
          <w:p w14:paraId="4CA765DA"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50%</w:t>
            </w:r>
          </w:p>
        </w:tc>
        <w:tc>
          <w:tcPr>
            <w:tcW w:w="1105" w:type="dxa"/>
          </w:tcPr>
          <w:p w14:paraId="4CFB2A92"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21%</w:t>
            </w:r>
          </w:p>
        </w:tc>
      </w:tr>
      <w:tr w:rsidR="00A840F1" w:rsidRPr="00A840F1" w14:paraId="5B9B9AA6" w14:textId="77777777" w:rsidTr="00A840F1">
        <w:tc>
          <w:tcPr>
            <w:tcW w:w="7400" w:type="dxa"/>
          </w:tcPr>
          <w:p w14:paraId="539855AB"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Students who arrived late for school in the two weeks prior to the PISA test</w:t>
            </w:r>
          </w:p>
        </w:tc>
        <w:tc>
          <w:tcPr>
            <w:tcW w:w="1134" w:type="dxa"/>
          </w:tcPr>
          <w:p w14:paraId="161B62C1"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58%</w:t>
            </w:r>
          </w:p>
        </w:tc>
        <w:tc>
          <w:tcPr>
            <w:tcW w:w="1105" w:type="dxa"/>
          </w:tcPr>
          <w:p w14:paraId="33A85397"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48%</w:t>
            </w:r>
          </w:p>
        </w:tc>
      </w:tr>
    </w:tbl>
    <w:p w14:paraId="7B88C77D" w14:textId="77777777" w:rsidR="00A840F1" w:rsidRDefault="00A840F1" w:rsidP="00A840F1">
      <w:pPr>
        <w:spacing w:before="0" w:after="0"/>
        <w:jc w:val="both"/>
        <w:rPr>
          <w:rFonts w:asciiTheme="minorHAnsi" w:hAnsiTheme="minorHAnsi" w:cstheme="minorHAnsi"/>
          <w:b/>
          <w:color w:val="auto"/>
          <w:sz w:val="21"/>
          <w:szCs w:val="21"/>
        </w:rPr>
      </w:pPr>
    </w:p>
    <w:p w14:paraId="495A09E9" w14:textId="77777777" w:rsidR="009E4255" w:rsidRPr="00A840F1" w:rsidRDefault="009E4255" w:rsidP="00A840F1">
      <w:pPr>
        <w:spacing w:before="0" w:after="0"/>
        <w:jc w:val="both"/>
        <w:rPr>
          <w:rFonts w:asciiTheme="minorHAnsi" w:hAnsiTheme="minorHAnsi" w:cstheme="minorHAnsi"/>
          <w:b/>
          <w:color w:val="auto"/>
          <w:sz w:val="21"/>
          <w:szCs w:val="21"/>
        </w:rPr>
      </w:pPr>
    </w:p>
    <w:p w14:paraId="1E3B0118" w14:textId="77777777" w:rsidR="00A840F1" w:rsidRPr="00A840F1" w:rsidRDefault="00A840F1" w:rsidP="00A840F1">
      <w:pPr>
        <w:spacing w:before="0" w:after="0"/>
        <w:jc w:val="both"/>
        <w:rPr>
          <w:rFonts w:asciiTheme="minorHAnsi" w:hAnsiTheme="minorHAnsi" w:cstheme="minorHAnsi"/>
          <w:b/>
          <w:color w:val="auto"/>
          <w:sz w:val="21"/>
          <w:szCs w:val="21"/>
        </w:rPr>
      </w:pPr>
      <w:r w:rsidRPr="00A840F1">
        <w:rPr>
          <w:rFonts w:asciiTheme="minorHAnsi" w:hAnsiTheme="minorHAnsi" w:cstheme="minorHAnsi"/>
          <w:b/>
          <w:color w:val="auto"/>
          <w:sz w:val="21"/>
          <w:szCs w:val="21"/>
        </w:rPr>
        <w:t xml:space="preserve"> Handling difficult situations - comparison Romania - OECD</w:t>
      </w:r>
      <w:r w:rsidRPr="00A840F1">
        <w:rPr>
          <w:rStyle w:val="FootnoteReference"/>
          <w:rFonts w:asciiTheme="minorHAnsi" w:hAnsiTheme="minorHAnsi" w:cstheme="minorHAnsi"/>
          <w:b/>
          <w:color w:val="auto"/>
          <w:sz w:val="21"/>
          <w:szCs w:val="21"/>
        </w:rPr>
        <w:t xml:space="preserve"> </w:t>
      </w:r>
      <w:r w:rsidRPr="00A840F1">
        <w:rPr>
          <w:rStyle w:val="FootnoteReference"/>
          <w:rFonts w:asciiTheme="minorHAnsi" w:hAnsiTheme="minorHAnsi" w:cstheme="minorHAnsi"/>
          <w:b/>
          <w:color w:val="auto"/>
          <w:sz w:val="21"/>
          <w:szCs w:val="21"/>
        </w:rPr>
        <w:footnoteReference w:id="17"/>
      </w:r>
    </w:p>
    <w:tbl>
      <w:tblPr>
        <w:tblStyle w:val="TableGrid"/>
        <w:tblW w:w="9639" w:type="dxa"/>
        <w:tblInd w:w="108" w:type="dxa"/>
        <w:tblLook w:val="04A0" w:firstRow="1" w:lastRow="0" w:firstColumn="1" w:lastColumn="0" w:noHBand="0" w:noVBand="1"/>
      </w:tblPr>
      <w:tblGrid>
        <w:gridCol w:w="7400"/>
        <w:gridCol w:w="1134"/>
        <w:gridCol w:w="1105"/>
      </w:tblGrid>
      <w:tr w:rsidR="00A840F1" w:rsidRPr="00A840F1" w14:paraId="3679B79B" w14:textId="77777777" w:rsidTr="00A840F1">
        <w:tc>
          <w:tcPr>
            <w:tcW w:w="7400" w:type="dxa"/>
          </w:tcPr>
          <w:p w14:paraId="58A5BA34" w14:textId="77777777" w:rsidR="00A840F1" w:rsidRPr="00A840F1" w:rsidRDefault="00A840F1" w:rsidP="00A840F1">
            <w:pPr>
              <w:spacing w:before="0" w:after="0"/>
              <w:rPr>
                <w:rFonts w:asciiTheme="minorHAnsi" w:hAnsiTheme="minorHAnsi" w:cstheme="minorHAnsi"/>
                <w:color w:val="auto"/>
                <w:sz w:val="21"/>
                <w:szCs w:val="21"/>
              </w:rPr>
            </w:pPr>
          </w:p>
        </w:tc>
        <w:tc>
          <w:tcPr>
            <w:tcW w:w="1134" w:type="dxa"/>
          </w:tcPr>
          <w:p w14:paraId="68E5377A"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Romania</w:t>
            </w:r>
          </w:p>
        </w:tc>
        <w:tc>
          <w:tcPr>
            <w:tcW w:w="1105" w:type="dxa"/>
          </w:tcPr>
          <w:p w14:paraId="3C8E3450" w14:textId="77777777" w:rsidR="00A840F1" w:rsidRPr="00A840F1" w:rsidRDefault="00A840F1" w:rsidP="00A840F1">
            <w:pPr>
              <w:spacing w:before="0" w:after="0"/>
              <w:jc w:val="center"/>
              <w:rPr>
                <w:rFonts w:asciiTheme="minorHAnsi" w:hAnsiTheme="minorHAnsi" w:cstheme="minorHAnsi"/>
                <w:b/>
                <w:color w:val="auto"/>
                <w:sz w:val="21"/>
                <w:szCs w:val="21"/>
              </w:rPr>
            </w:pPr>
            <w:r w:rsidRPr="00A840F1">
              <w:rPr>
                <w:rFonts w:asciiTheme="minorHAnsi" w:hAnsiTheme="minorHAnsi" w:cstheme="minorHAnsi"/>
                <w:b/>
                <w:color w:val="auto"/>
                <w:sz w:val="21"/>
                <w:szCs w:val="21"/>
              </w:rPr>
              <w:t>OECD</w:t>
            </w:r>
          </w:p>
        </w:tc>
      </w:tr>
      <w:tr w:rsidR="00A840F1" w:rsidRPr="00A840F1" w14:paraId="68A6B1FF" w14:textId="77777777" w:rsidTr="00A840F1">
        <w:tc>
          <w:tcPr>
            <w:tcW w:w="7400" w:type="dxa"/>
          </w:tcPr>
          <w:p w14:paraId="76858747"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 xml:space="preserve">Students who report they are satisfied with their lives </w:t>
            </w:r>
          </w:p>
        </w:tc>
        <w:tc>
          <w:tcPr>
            <w:tcW w:w="1134" w:type="dxa"/>
          </w:tcPr>
          <w:p w14:paraId="7BA3A40D"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80%</w:t>
            </w:r>
          </w:p>
        </w:tc>
        <w:tc>
          <w:tcPr>
            <w:tcW w:w="1105" w:type="dxa"/>
          </w:tcPr>
          <w:p w14:paraId="4FD99144"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67%</w:t>
            </w:r>
          </w:p>
        </w:tc>
      </w:tr>
      <w:tr w:rsidR="00A840F1" w:rsidRPr="00A840F1" w14:paraId="78AAD2DF" w14:textId="77777777" w:rsidTr="00A840F1">
        <w:tc>
          <w:tcPr>
            <w:tcW w:w="7400" w:type="dxa"/>
          </w:tcPr>
          <w:p w14:paraId="5E076ABD"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Students who report they usually find a way out of difficult situations</w:t>
            </w:r>
          </w:p>
        </w:tc>
        <w:tc>
          <w:tcPr>
            <w:tcW w:w="1134" w:type="dxa"/>
          </w:tcPr>
          <w:p w14:paraId="5D96AC1A"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91%</w:t>
            </w:r>
          </w:p>
        </w:tc>
        <w:tc>
          <w:tcPr>
            <w:tcW w:w="1105" w:type="dxa"/>
          </w:tcPr>
          <w:p w14:paraId="78553A4F"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84%</w:t>
            </w:r>
          </w:p>
        </w:tc>
      </w:tr>
      <w:tr w:rsidR="00A840F1" w:rsidRPr="00A840F1" w14:paraId="74CCC7E5" w14:textId="77777777" w:rsidTr="00A840F1">
        <w:tc>
          <w:tcPr>
            <w:tcW w:w="7400" w:type="dxa"/>
          </w:tcPr>
          <w:p w14:paraId="4C689DB0" w14:textId="77777777" w:rsidR="00A840F1" w:rsidRPr="00A840F1" w:rsidRDefault="00A840F1" w:rsidP="00A840F1">
            <w:pPr>
              <w:spacing w:before="0" w:after="0"/>
              <w:rPr>
                <w:rFonts w:asciiTheme="minorHAnsi" w:hAnsiTheme="minorHAnsi" w:cstheme="minorHAnsi"/>
                <w:color w:val="auto"/>
                <w:sz w:val="21"/>
                <w:szCs w:val="21"/>
              </w:rPr>
            </w:pPr>
            <w:r w:rsidRPr="00A840F1">
              <w:rPr>
                <w:rFonts w:asciiTheme="minorHAnsi" w:hAnsiTheme="minorHAnsi" w:cstheme="minorHAnsi"/>
                <w:color w:val="auto"/>
                <w:sz w:val="21"/>
                <w:szCs w:val="21"/>
              </w:rPr>
              <w:t>Students who worry about what others think of them when they fail</w:t>
            </w:r>
          </w:p>
        </w:tc>
        <w:tc>
          <w:tcPr>
            <w:tcW w:w="1134" w:type="dxa"/>
          </w:tcPr>
          <w:p w14:paraId="64763955"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46%</w:t>
            </w:r>
          </w:p>
        </w:tc>
        <w:tc>
          <w:tcPr>
            <w:tcW w:w="1105" w:type="dxa"/>
          </w:tcPr>
          <w:p w14:paraId="26826E43" w14:textId="77777777" w:rsidR="00A840F1" w:rsidRPr="00A840F1" w:rsidRDefault="00A840F1" w:rsidP="00A840F1">
            <w:pPr>
              <w:spacing w:before="0" w:after="0"/>
              <w:jc w:val="center"/>
              <w:rPr>
                <w:rFonts w:asciiTheme="minorHAnsi" w:hAnsiTheme="minorHAnsi" w:cstheme="minorHAnsi"/>
                <w:color w:val="auto"/>
                <w:sz w:val="21"/>
                <w:szCs w:val="21"/>
              </w:rPr>
            </w:pPr>
            <w:r w:rsidRPr="00A840F1">
              <w:rPr>
                <w:rFonts w:asciiTheme="minorHAnsi" w:hAnsiTheme="minorHAnsi" w:cstheme="minorHAnsi"/>
                <w:color w:val="auto"/>
                <w:sz w:val="21"/>
                <w:szCs w:val="21"/>
              </w:rPr>
              <w:t>56%</w:t>
            </w:r>
          </w:p>
        </w:tc>
      </w:tr>
    </w:tbl>
    <w:p w14:paraId="6F1D87F0" w14:textId="77777777" w:rsidR="00975343" w:rsidRDefault="00975343" w:rsidP="00975343">
      <w:pPr>
        <w:rPr>
          <w:lang w:val="ro-RO"/>
        </w:rPr>
      </w:pPr>
    </w:p>
    <w:p w14:paraId="5AF4E3D1" w14:textId="77777777" w:rsidR="000B03F2" w:rsidRDefault="000B03F2" w:rsidP="00975343">
      <w:pPr>
        <w:pStyle w:val="LEAP-Normal"/>
        <w:spacing w:before="0" w:after="0"/>
        <w:rPr>
          <w:sz w:val="28"/>
          <w:szCs w:val="28"/>
          <w:lang w:val="ro-RO"/>
        </w:rPr>
      </w:pPr>
    </w:p>
    <w:p w14:paraId="7FD4BCD6" w14:textId="77777777" w:rsidR="000B03F2" w:rsidRPr="00712EC0" w:rsidRDefault="000B03F2" w:rsidP="00975343">
      <w:pPr>
        <w:pStyle w:val="LEAP-Normal"/>
        <w:spacing w:before="0" w:after="0"/>
        <w:rPr>
          <w:sz w:val="28"/>
          <w:szCs w:val="28"/>
          <w:lang w:val="ro-RO"/>
        </w:rPr>
      </w:pPr>
    </w:p>
    <w:p w14:paraId="1F5D5DDF" w14:textId="77777777" w:rsidR="00145A9D" w:rsidRPr="00712EC0" w:rsidRDefault="00712EC0" w:rsidP="009558DB">
      <w:pPr>
        <w:pStyle w:val="LEAP-Heading4"/>
        <w:spacing w:before="0" w:after="0"/>
        <w:rPr>
          <w:lang w:val="ro-RO"/>
        </w:rPr>
      </w:pPr>
      <w:r w:rsidRPr="00712EC0">
        <w:rPr>
          <w:rFonts w:cstheme="minorHAnsi"/>
        </w:rPr>
        <w:t xml:space="preserve"> Data on education from reports issued by public institutions from Romania</w:t>
      </w:r>
      <w:r w:rsidR="00817E33" w:rsidRPr="00712EC0">
        <w:rPr>
          <w:lang w:val="ro-RO"/>
        </w:rPr>
        <w:t xml:space="preserve"> </w:t>
      </w:r>
    </w:p>
    <w:p w14:paraId="5BE6FEDD" w14:textId="77777777" w:rsidR="00712EC0" w:rsidRPr="00712EC0" w:rsidRDefault="00712EC0" w:rsidP="009558DB">
      <w:pPr>
        <w:spacing w:before="0" w:after="0"/>
        <w:rPr>
          <w:b/>
          <w:lang w:val="ro-RO"/>
        </w:rPr>
      </w:pPr>
    </w:p>
    <w:p w14:paraId="47CC4FBB" w14:textId="77777777" w:rsidR="009558DB" w:rsidRPr="009E4EF3" w:rsidRDefault="009558DB" w:rsidP="009558DB">
      <w:pPr>
        <w:pStyle w:val="ListParagraph"/>
        <w:spacing w:after="0" w:line="240" w:lineRule="auto"/>
        <w:ind w:left="0"/>
        <w:jc w:val="both"/>
        <w:rPr>
          <w:rFonts w:cstheme="minorHAnsi"/>
          <w:sz w:val="21"/>
          <w:szCs w:val="21"/>
        </w:rPr>
      </w:pPr>
      <w:r w:rsidRPr="009E4EF3">
        <w:rPr>
          <w:rFonts w:cstheme="minorHAnsi"/>
          <w:sz w:val="21"/>
          <w:szCs w:val="21"/>
        </w:rPr>
        <w:t xml:space="preserve">According to the </w:t>
      </w:r>
      <w:r w:rsidRPr="009E4EF3">
        <w:rPr>
          <w:rFonts w:cstheme="minorHAnsi"/>
          <w:b/>
          <w:sz w:val="21"/>
          <w:szCs w:val="21"/>
        </w:rPr>
        <w:t>Cluj County School Inspectorate</w:t>
      </w:r>
      <w:r w:rsidRPr="009E4EF3">
        <w:rPr>
          <w:rFonts w:cstheme="minorHAnsi"/>
          <w:sz w:val="21"/>
          <w:szCs w:val="21"/>
        </w:rPr>
        <w:t>, in the school-year 2018-2019, the rate of absenteeism at county level was lower by 1,24% compared to the previous year</w:t>
      </w:r>
      <w:r w:rsidRPr="009E4EF3">
        <w:rPr>
          <w:rStyle w:val="FootnoteReference"/>
          <w:rFonts w:cstheme="minorHAnsi"/>
          <w:sz w:val="21"/>
          <w:szCs w:val="21"/>
        </w:rPr>
        <w:footnoteReference w:id="18"/>
      </w:r>
      <w:r w:rsidRPr="009E4EF3">
        <w:rPr>
          <w:rFonts w:cstheme="minorHAnsi"/>
          <w:sz w:val="21"/>
          <w:szCs w:val="21"/>
        </w:rPr>
        <w:t xml:space="preserve">. </w:t>
      </w:r>
    </w:p>
    <w:p w14:paraId="041BA4E9" w14:textId="77777777" w:rsidR="009558DB" w:rsidRDefault="009558DB" w:rsidP="009558DB">
      <w:pPr>
        <w:spacing w:before="0" w:after="0"/>
        <w:jc w:val="both"/>
        <w:rPr>
          <w:rFonts w:cstheme="minorHAnsi"/>
          <w:color w:val="auto"/>
          <w:sz w:val="21"/>
          <w:szCs w:val="21"/>
        </w:rPr>
      </w:pPr>
      <w:r w:rsidRPr="009E4EF3">
        <w:rPr>
          <w:rFonts w:cstheme="minorHAnsi"/>
          <w:color w:val="auto"/>
          <w:sz w:val="21"/>
          <w:szCs w:val="21"/>
        </w:rPr>
        <w:t>Situations and underlying causes of students’ absenteeism in Cluj County, school year 2018-2019, according to the County School Inspectorate’s Report</w:t>
      </w:r>
      <w:r w:rsidRPr="009E4EF3">
        <w:rPr>
          <w:rStyle w:val="FootnoteReference"/>
          <w:rFonts w:cstheme="minorHAnsi"/>
          <w:color w:val="auto"/>
          <w:sz w:val="21"/>
          <w:szCs w:val="21"/>
        </w:rPr>
        <w:footnoteReference w:id="19"/>
      </w:r>
      <w:r w:rsidRPr="009E4EF3">
        <w:rPr>
          <w:rFonts w:cstheme="minorHAnsi"/>
          <w:color w:val="auto"/>
          <w:sz w:val="21"/>
          <w:szCs w:val="21"/>
        </w:rPr>
        <w:t>:</w:t>
      </w:r>
    </w:p>
    <w:p w14:paraId="3392284E" w14:textId="77777777" w:rsidR="004E2148" w:rsidRPr="009E4EF3" w:rsidRDefault="004E2148" w:rsidP="009558DB">
      <w:pPr>
        <w:spacing w:before="0" w:after="0"/>
        <w:jc w:val="both"/>
        <w:rPr>
          <w:rFonts w:cstheme="minorHAnsi"/>
          <w:color w:val="auto"/>
          <w:sz w:val="21"/>
          <w:szCs w:val="21"/>
        </w:rPr>
      </w:pPr>
    </w:p>
    <w:p w14:paraId="092111E1"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Medical reasons</w:t>
      </w:r>
    </w:p>
    <w:p w14:paraId="54B79A89"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Some students are kept at home by their families, for helping with household chores or agricultural work</w:t>
      </w:r>
    </w:p>
    <w:p w14:paraId="22B063A5"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Some children are left home unattended by parents who left abroad for work</w:t>
      </w:r>
    </w:p>
    <w:p w14:paraId="63EB7DAB"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Overwhelming school schedules</w:t>
      </w:r>
    </w:p>
    <w:p w14:paraId="5C40E2F5"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Unfitting school schedules (classes in the morning / some classes during afternoons)</w:t>
      </w:r>
    </w:p>
    <w:p w14:paraId="404FC90A"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Students’ (students’ families) lack of interest in school</w:t>
      </w:r>
    </w:p>
    <w:p w14:paraId="4FE05E06"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The existence of non-restrictive regulations in some schools</w:t>
      </w:r>
    </w:p>
    <w:p w14:paraId="6D83DA67"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Students from families with low socio economic status</w:t>
      </w:r>
    </w:p>
    <w:p w14:paraId="765E9388"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Commuting</w:t>
      </w:r>
    </w:p>
    <w:p w14:paraId="254EBAD3"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Negative influence of students’ peer groups</w:t>
      </w:r>
    </w:p>
    <w:p w14:paraId="5861F237"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Fear of school; fear of punishment</w:t>
      </w:r>
    </w:p>
    <w:p w14:paraId="4095FF59" w14:textId="77777777" w:rsidR="009558DB" w:rsidRPr="009E4EF3" w:rsidRDefault="009558DB" w:rsidP="009558DB">
      <w:pPr>
        <w:pStyle w:val="ListParagraph"/>
        <w:numPr>
          <w:ilvl w:val="0"/>
          <w:numId w:val="4"/>
        </w:numPr>
        <w:spacing w:after="0" w:line="240" w:lineRule="auto"/>
        <w:jc w:val="both"/>
        <w:rPr>
          <w:rFonts w:cstheme="minorHAnsi"/>
          <w:sz w:val="21"/>
          <w:szCs w:val="21"/>
        </w:rPr>
      </w:pPr>
      <w:r w:rsidRPr="009E4EF3">
        <w:rPr>
          <w:rFonts w:cstheme="minorHAnsi"/>
          <w:sz w:val="21"/>
          <w:szCs w:val="21"/>
        </w:rPr>
        <w:t xml:space="preserve">Fear of poor results </w:t>
      </w:r>
    </w:p>
    <w:p w14:paraId="5571CB3A" w14:textId="77777777" w:rsidR="009558DB" w:rsidRPr="009E4EF3" w:rsidRDefault="009558DB" w:rsidP="009558DB">
      <w:pPr>
        <w:pStyle w:val="ListParagraph"/>
        <w:spacing w:after="0" w:line="240" w:lineRule="auto"/>
        <w:ind w:left="405"/>
        <w:jc w:val="both"/>
        <w:rPr>
          <w:rFonts w:cstheme="minorHAnsi"/>
          <w:sz w:val="21"/>
          <w:szCs w:val="21"/>
        </w:rPr>
      </w:pPr>
    </w:p>
    <w:p w14:paraId="098E5E5E" w14:textId="77777777" w:rsidR="009558DB" w:rsidRPr="009E4EF3" w:rsidRDefault="009558DB" w:rsidP="004E2148">
      <w:pPr>
        <w:spacing w:before="0" w:after="0"/>
        <w:jc w:val="both"/>
        <w:rPr>
          <w:rFonts w:cstheme="minorHAnsi"/>
          <w:color w:val="auto"/>
          <w:sz w:val="21"/>
          <w:szCs w:val="21"/>
        </w:rPr>
      </w:pPr>
      <w:r w:rsidRPr="009E4EF3">
        <w:rPr>
          <w:rFonts w:cstheme="minorHAnsi"/>
          <w:color w:val="auto"/>
          <w:sz w:val="21"/>
          <w:szCs w:val="21"/>
        </w:rPr>
        <w:t>In 2018, the Cluj County Inspectorate carried a survey among 8</w:t>
      </w:r>
      <w:r w:rsidRPr="009E4EF3">
        <w:rPr>
          <w:rFonts w:cstheme="minorHAnsi"/>
          <w:color w:val="auto"/>
          <w:sz w:val="21"/>
          <w:szCs w:val="21"/>
          <w:vertAlign w:val="superscript"/>
        </w:rPr>
        <w:t>th</w:t>
      </w:r>
      <w:r w:rsidRPr="009E4EF3">
        <w:rPr>
          <w:rFonts w:cstheme="minorHAnsi"/>
          <w:color w:val="auto"/>
          <w:sz w:val="21"/>
          <w:szCs w:val="21"/>
        </w:rPr>
        <w:t xml:space="preserve"> grade students, with a total of 4570 respondents from Cluj-Napoca, </w:t>
      </w:r>
      <w:proofErr w:type="spellStart"/>
      <w:r w:rsidRPr="009E4EF3">
        <w:rPr>
          <w:rFonts w:cstheme="minorHAnsi"/>
          <w:color w:val="auto"/>
          <w:sz w:val="21"/>
          <w:szCs w:val="21"/>
        </w:rPr>
        <w:t>Turda</w:t>
      </w:r>
      <w:proofErr w:type="spellEnd"/>
      <w:r w:rsidRPr="009E4EF3">
        <w:rPr>
          <w:rFonts w:cstheme="minorHAnsi"/>
          <w:color w:val="auto"/>
          <w:sz w:val="21"/>
          <w:szCs w:val="21"/>
        </w:rPr>
        <w:t xml:space="preserve">, </w:t>
      </w:r>
      <w:proofErr w:type="spellStart"/>
      <w:r w:rsidRPr="009E4EF3">
        <w:rPr>
          <w:rFonts w:cstheme="minorHAnsi"/>
          <w:color w:val="auto"/>
          <w:sz w:val="21"/>
          <w:szCs w:val="21"/>
        </w:rPr>
        <w:t>Campia</w:t>
      </w:r>
      <w:proofErr w:type="spellEnd"/>
      <w:r w:rsidRPr="009E4EF3">
        <w:rPr>
          <w:rFonts w:cstheme="minorHAnsi"/>
          <w:color w:val="auto"/>
          <w:sz w:val="21"/>
          <w:szCs w:val="21"/>
        </w:rPr>
        <w:t xml:space="preserve"> </w:t>
      </w:r>
      <w:proofErr w:type="spellStart"/>
      <w:r w:rsidRPr="009E4EF3">
        <w:rPr>
          <w:rFonts w:cstheme="minorHAnsi"/>
          <w:color w:val="auto"/>
          <w:sz w:val="21"/>
          <w:szCs w:val="21"/>
        </w:rPr>
        <w:t>Turzii</w:t>
      </w:r>
      <w:proofErr w:type="spellEnd"/>
      <w:r w:rsidRPr="009E4EF3">
        <w:rPr>
          <w:rFonts w:cstheme="minorHAnsi"/>
          <w:color w:val="auto"/>
          <w:sz w:val="21"/>
          <w:szCs w:val="21"/>
        </w:rPr>
        <w:t xml:space="preserve">, Dej, Gherla, </w:t>
      </w:r>
      <w:proofErr w:type="spellStart"/>
      <w:r w:rsidRPr="009E4EF3">
        <w:rPr>
          <w:rFonts w:cstheme="minorHAnsi"/>
          <w:color w:val="auto"/>
          <w:sz w:val="21"/>
          <w:szCs w:val="21"/>
        </w:rPr>
        <w:t>Huedin</w:t>
      </w:r>
      <w:proofErr w:type="spellEnd"/>
      <w:r w:rsidRPr="009E4EF3">
        <w:rPr>
          <w:rFonts w:cstheme="minorHAnsi"/>
          <w:color w:val="auto"/>
          <w:sz w:val="21"/>
          <w:szCs w:val="21"/>
        </w:rPr>
        <w:t xml:space="preserve"> and rural localities (3403 students from urban area, 1167 students from rural areas). From the total number of surveyed students, 80% would opt to further pursue a general secondary education (high school), 13% would choose a vocational school, 6% were yet not fully decided, and 1% would go to a school in a different county. The option for vocational schools is more visible among 8</w:t>
      </w:r>
      <w:r w:rsidRPr="009E4EF3">
        <w:rPr>
          <w:rFonts w:cstheme="minorHAnsi"/>
          <w:color w:val="auto"/>
          <w:sz w:val="21"/>
          <w:szCs w:val="21"/>
          <w:vertAlign w:val="superscript"/>
        </w:rPr>
        <w:t>th</w:t>
      </w:r>
      <w:r w:rsidRPr="009E4EF3">
        <w:rPr>
          <w:rFonts w:cstheme="minorHAnsi"/>
          <w:color w:val="auto"/>
          <w:sz w:val="21"/>
          <w:szCs w:val="21"/>
        </w:rPr>
        <w:t xml:space="preserve"> graders from rural areas (29%), compared to those from towns and cities (8%).</w:t>
      </w:r>
      <w:r w:rsidRPr="009E4EF3">
        <w:rPr>
          <w:rStyle w:val="FootnoteReference"/>
          <w:rFonts w:cstheme="minorHAnsi"/>
          <w:color w:val="auto"/>
          <w:sz w:val="21"/>
          <w:szCs w:val="21"/>
        </w:rPr>
        <w:footnoteReference w:id="20"/>
      </w:r>
      <w:r w:rsidRPr="009E4EF3">
        <w:rPr>
          <w:rFonts w:cstheme="minorHAnsi"/>
          <w:color w:val="auto"/>
          <w:sz w:val="21"/>
          <w:szCs w:val="21"/>
        </w:rPr>
        <w:t xml:space="preserve"> </w:t>
      </w:r>
    </w:p>
    <w:p w14:paraId="35C6FE03" w14:textId="77777777" w:rsidR="009558DB" w:rsidRPr="009E4EF3" w:rsidRDefault="009558DB" w:rsidP="009E4EF3">
      <w:pPr>
        <w:spacing w:before="0" w:after="0"/>
        <w:jc w:val="both"/>
        <w:rPr>
          <w:rFonts w:cstheme="minorHAnsi"/>
          <w:color w:val="auto"/>
          <w:sz w:val="21"/>
          <w:szCs w:val="21"/>
        </w:rPr>
      </w:pPr>
    </w:p>
    <w:p w14:paraId="2E0B85F8" w14:textId="77777777" w:rsidR="009558DB" w:rsidRPr="009E4EF3" w:rsidRDefault="009558DB" w:rsidP="009E4EF3">
      <w:pPr>
        <w:spacing w:before="0" w:after="0"/>
        <w:jc w:val="both"/>
        <w:rPr>
          <w:rFonts w:cstheme="minorHAnsi"/>
          <w:color w:val="auto"/>
          <w:sz w:val="21"/>
          <w:szCs w:val="21"/>
        </w:rPr>
      </w:pPr>
      <w:r w:rsidRPr="009E4EF3">
        <w:rPr>
          <w:rFonts w:cstheme="minorHAnsi"/>
          <w:b/>
          <w:color w:val="auto"/>
          <w:sz w:val="21"/>
          <w:szCs w:val="21"/>
        </w:rPr>
        <w:t>The National Statistics Institute</w:t>
      </w:r>
      <w:r w:rsidRPr="009E4EF3">
        <w:rPr>
          <w:rFonts w:cstheme="minorHAnsi"/>
          <w:color w:val="auto"/>
          <w:sz w:val="21"/>
          <w:szCs w:val="21"/>
        </w:rPr>
        <w:t xml:space="preserve"> collects data at national and county level concerning a wide range of attributes of the educational system. However, the data is made available with some delay; a full synthetic report for the school year 2018-2019 is due towards the end of June 2020. </w:t>
      </w:r>
    </w:p>
    <w:p w14:paraId="0B1F3C82" w14:textId="77777777" w:rsidR="009558DB" w:rsidRPr="009E4EF3" w:rsidRDefault="009558DB" w:rsidP="009E4EF3">
      <w:pPr>
        <w:pStyle w:val="ListParagraph"/>
        <w:spacing w:after="0" w:line="240" w:lineRule="auto"/>
        <w:ind w:left="-284"/>
        <w:jc w:val="both"/>
        <w:rPr>
          <w:rFonts w:cstheme="minorHAnsi"/>
          <w:sz w:val="21"/>
          <w:szCs w:val="21"/>
        </w:rPr>
      </w:pPr>
    </w:p>
    <w:p w14:paraId="486110A8" w14:textId="77777777" w:rsidR="009558DB" w:rsidRPr="009E4EF3" w:rsidRDefault="009558DB" w:rsidP="009E4EF3">
      <w:pPr>
        <w:spacing w:before="0" w:after="0"/>
        <w:jc w:val="both"/>
        <w:rPr>
          <w:rFonts w:cstheme="minorHAnsi"/>
          <w:color w:val="auto"/>
          <w:sz w:val="21"/>
          <w:szCs w:val="21"/>
        </w:rPr>
      </w:pPr>
      <w:r w:rsidRPr="009E4EF3">
        <w:rPr>
          <w:rFonts w:cstheme="minorHAnsi"/>
          <w:color w:val="auto"/>
          <w:sz w:val="21"/>
          <w:szCs w:val="21"/>
        </w:rPr>
        <w:t xml:space="preserve">The available data for the school year 2017-2018 shows a persisting discrepancy regarding the rate of school dropout </w:t>
      </w:r>
      <w:r w:rsidRPr="009E4EF3">
        <w:rPr>
          <w:rStyle w:val="FootnoteReference"/>
          <w:rFonts w:cstheme="minorHAnsi"/>
          <w:color w:val="auto"/>
          <w:sz w:val="21"/>
          <w:szCs w:val="21"/>
        </w:rPr>
        <w:footnoteReference w:id="21"/>
      </w:r>
      <w:r w:rsidRPr="009E4EF3">
        <w:rPr>
          <w:rFonts w:cstheme="minorHAnsi"/>
          <w:color w:val="auto"/>
          <w:sz w:val="21"/>
          <w:szCs w:val="21"/>
        </w:rPr>
        <w:t xml:space="preserve"> between rural and urban areas. Gender does not seem to significantly influence drop-out (boys 1.8%, girls 1.5%).</w:t>
      </w:r>
      <w:r w:rsidRPr="009E4EF3">
        <w:rPr>
          <w:rStyle w:val="FootnoteReference"/>
          <w:rFonts w:cstheme="minorHAnsi"/>
          <w:color w:val="auto"/>
          <w:sz w:val="21"/>
          <w:szCs w:val="21"/>
        </w:rPr>
        <w:footnoteReference w:id="22"/>
      </w:r>
    </w:p>
    <w:p w14:paraId="4EC8D72B" w14:textId="77777777" w:rsidR="009E4EF3" w:rsidRDefault="009E4EF3" w:rsidP="009E4EF3">
      <w:pPr>
        <w:spacing w:before="0" w:after="0"/>
        <w:jc w:val="both"/>
        <w:rPr>
          <w:rFonts w:cstheme="minorHAnsi"/>
          <w:color w:val="auto"/>
          <w:sz w:val="21"/>
          <w:szCs w:val="21"/>
        </w:rPr>
      </w:pPr>
      <w:r w:rsidRPr="009E4EF3">
        <w:rPr>
          <w:rFonts w:cstheme="minorHAnsi"/>
          <w:color w:val="auto"/>
          <w:sz w:val="21"/>
          <w:szCs w:val="21"/>
        </w:rPr>
        <w:t>School dropout for primary and lower secondary levels in the school year 2017-2018.</w:t>
      </w:r>
    </w:p>
    <w:p w14:paraId="09F37A2B" w14:textId="77777777" w:rsidR="000B03F2" w:rsidRPr="009E4EF3" w:rsidRDefault="000B03F2" w:rsidP="009E4EF3">
      <w:pPr>
        <w:spacing w:before="0" w:after="0"/>
        <w:jc w:val="both"/>
        <w:rPr>
          <w:rFonts w:cstheme="minorHAnsi"/>
          <w:color w:val="auto"/>
          <w:sz w:val="21"/>
          <w:szCs w:val="21"/>
        </w:rPr>
      </w:pPr>
    </w:p>
    <w:tbl>
      <w:tblPr>
        <w:tblStyle w:val="TableGrid"/>
        <w:tblW w:w="0" w:type="auto"/>
        <w:tblInd w:w="421" w:type="dxa"/>
        <w:tblLook w:val="04A0" w:firstRow="1" w:lastRow="0" w:firstColumn="1" w:lastColumn="0" w:noHBand="0" w:noVBand="1"/>
      </w:tblPr>
      <w:tblGrid>
        <w:gridCol w:w="3260"/>
        <w:gridCol w:w="2977"/>
        <w:gridCol w:w="2692"/>
      </w:tblGrid>
      <w:tr w:rsidR="009E4EF3" w:rsidRPr="009E4EF3" w14:paraId="1741B115" w14:textId="77777777" w:rsidTr="009E4EF3">
        <w:tc>
          <w:tcPr>
            <w:tcW w:w="3260" w:type="dxa"/>
          </w:tcPr>
          <w:p w14:paraId="5CA28C86" w14:textId="77777777" w:rsidR="009E4EF3" w:rsidRPr="009E4EF3" w:rsidRDefault="009E4EF3" w:rsidP="009E4EF3">
            <w:pPr>
              <w:spacing w:before="0" w:after="0"/>
              <w:rPr>
                <w:rFonts w:cstheme="minorHAnsi"/>
                <w:color w:val="auto"/>
                <w:sz w:val="21"/>
                <w:szCs w:val="21"/>
              </w:rPr>
            </w:pPr>
          </w:p>
        </w:tc>
        <w:tc>
          <w:tcPr>
            <w:tcW w:w="2977" w:type="dxa"/>
          </w:tcPr>
          <w:p w14:paraId="62F5E6C4" w14:textId="77777777" w:rsidR="009E4EF3" w:rsidRPr="009E4EF3" w:rsidRDefault="009E4EF3" w:rsidP="009E4EF3">
            <w:pPr>
              <w:spacing w:before="0" w:after="0"/>
              <w:jc w:val="center"/>
              <w:rPr>
                <w:rFonts w:cstheme="minorHAnsi"/>
                <w:b/>
                <w:color w:val="auto"/>
                <w:sz w:val="21"/>
                <w:szCs w:val="21"/>
              </w:rPr>
            </w:pPr>
            <w:r w:rsidRPr="009E4EF3">
              <w:rPr>
                <w:rFonts w:cstheme="minorHAnsi"/>
                <w:b/>
                <w:color w:val="auto"/>
                <w:sz w:val="21"/>
                <w:szCs w:val="21"/>
              </w:rPr>
              <w:t>Rural areas</w:t>
            </w:r>
          </w:p>
        </w:tc>
        <w:tc>
          <w:tcPr>
            <w:tcW w:w="2692" w:type="dxa"/>
          </w:tcPr>
          <w:p w14:paraId="0EA2D13C" w14:textId="77777777" w:rsidR="009E4EF3" w:rsidRPr="009E4EF3" w:rsidRDefault="009E4EF3" w:rsidP="009E4EF3">
            <w:pPr>
              <w:spacing w:before="0" w:after="0"/>
              <w:jc w:val="center"/>
              <w:rPr>
                <w:rFonts w:cstheme="minorHAnsi"/>
                <w:b/>
                <w:color w:val="auto"/>
                <w:sz w:val="21"/>
                <w:szCs w:val="21"/>
              </w:rPr>
            </w:pPr>
            <w:r w:rsidRPr="009E4EF3">
              <w:rPr>
                <w:rFonts w:cstheme="minorHAnsi"/>
                <w:b/>
                <w:color w:val="auto"/>
                <w:sz w:val="21"/>
                <w:szCs w:val="21"/>
              </w:rPr>
              <w:t>Urban areas</w:t>
            </w:r>
          </w:p>
        </w:tc>
      </w:tr>
      <w:tr w:rsidR="009E4EF3" w:rsidRPr="009E4EF3" w14:paraId="7F07D976" w14:textId="77777777" w:rsidTr="009E4EF3">
        <w:tc>
          <w:tcPr>
            <w:tcW w:w="3260" w:type="dxa"/>
          </w:tcPr>
          <w:p w14:paraId="4E3334A4" w14:textId="77777777" w:rsidR="009E4EF3" w:rsidRPr="009E4EF3" w:rsidRDefault="009E4EF3" w:rsidP="009E4EF3">
            <w:pPr>
              <w:spacing w:before="0" w:after="0"/>
              <w:rPr>
                <w:rFonts w:cstheme="minorHAnsi"/>
                <w:color w:val="auto"/>
                <w:sz w:val="21"/>
                <w:szCs w:val="21"/>
              </w:rPr>
            </w:pPr>
            <w:r w:rsidRPr="009E4EF3">
              <w:rPr>
                <w:rFonts w:cstheme="minorHAnsi"/>
                <w:color w:val="auto"/>
                <w:sz w:val="21"/>
                <w:szCs w:val="21"/>
              </w:rPr>
              <w:lastRenderedPageBreak/>
              <w:t>Primary</w:t>
            </w:r>
          </w:p>
        </w:tc>
        <w:tc>
          <w:tcPr>
            <w:tcW w:w="2977" w:type="dxa"/>
          </w:tcPr>
          <w:p w14:paraId="1D775265" w14:textId="77777777" w:rsidR="009E4EF3" w:rsidRPr="009E4EF3" w:rsidRDefault="009E4EF3" w:rsidP="009E4EF3">
            <w:pPr>
              <w:spacing w:before="0" w:after="0"/>
              <w:jc w:val="center"/>
              <w:rPr>
                <w:rFonts w:cstheme="minorHAnsi"/>
                <w:color w:val="auto"/>
                <w:sz w:val="21"/>
                <w:szCs w:val="21"/>
              </w:rPr>
            </w:pPr>
            <w:r w:rsidRPr="009E4EF3">
              <w:rPr>
                <w:rFonts w:cstheme="minorHAnsi"/>
                <w:color w:val="auto"/>
                <w:sz w:val="21"/>
                <w:szCs w:val="21"/>
              </w:rPr>
              <w:t>2.2%</w:t>
            </w:r>
          </w:p>
        </w:tc>
        <w:tc>
          <w:tcPr>
            <w:tcW w:w="2692" w:type="dxa"/>
          </w:tcPr>
          <w:p w14:paraId="05A0A5DE" w14:textId="77777777" w:rsidR="009E4EF3" w:rsidRPr="009E4EF3" w:rsidRDefault="009E4EF3" w:rsidP="009E4EF3">
            <w:pPr>
              <w:spacing w:before="0" w:after="0"/>
              <w:jc w:val="center"/>
              <w:rPr>
                <w:rFonts w:cstheme="minorHAnsi"/>
                <w:color w:val="auto"/>
                <w:sz w:val="21"/>
                <w:szCs w:val="21"/>
              </w:rPr>
            </w:pPr>
            <w:r w:rsidRPr="009E4EF3">
              <w:rPr>
                <w:rFonts w:cstheme="minorHAnsi"/>
                <w:color w:val="auto"/>
                <w:sz w:val="21"/>
                <w:szCs w:val="21"/>
              </w:rPr>
              <w:t>1.2%</w:t>
            </w:r>
          </w:p>
        </w:tc>
      </w:tr>
      <w:tr w:rsidR="009E4EF3" w:rsidRPr="009E4EF3" w14:paraId="3D8EF78A" w14:textId="77777777" w:rsidTr="009E4EF3">
        <w:tc>
          <w:tcPr>
            <w:tcW w:w="3260" w:type="dxa"/>
          </w:tcPr>
          <w:p w14:paraId="6B2E7D53" w14:textId="77777777" w:rsidR="009E4EF3" w:rsidRPr="009E4EF3" w:rsidRDefault="009E4EF3" w:rsidP="009E4EF3">
            <w:pPr>
              <w:spacing w:before="0" w:after="0"/>
              <w:rPr>
                <w:rFonts w:cstheme="minorHAnsi"/>
                <w:color w:val="auto"/>
                <w:sz w:val="21"/>
                <w:szCs w:val="21"/>
              </w:rPr>
            </w:pPr>
            <w:r w:rsidRPr="009E4EF3">
              <w:rPr>
                <w:rFonts w:cstheme="minorHAnsi"/>
                <w:color w:val="auto"/>
                <w:sz w:val="21"/>
                <w:szCs w:val="21"/>
              </w:rPr>
              <w:t>Lower secondary (gymnasium)</w:t>
            </w:r>
          </w:p>
        </w:tc>
        <w:tc>
          <w:tcPr>
            <w:tcW w:w="2977" w:type="dxa"/>
          </w:tcPr>
          <w:p w14:paraId="718AC3EC" w14:textId="77777777" w:rsidR="009E4EF3" w:rsidRPr="009E4EF3" w:rsidRDefault="009E4EF3" w:rsidP="009E4EF3">
            <w:pPr>
              <w:spacing w:before="0" w:after="0"/>
              <w:jc w:val="center"/>
              <w:rPr>
                <w:rFonts w:cstheme="minorHAnsi"/>
                <w:color w:val="auto"/>
                <w:sz w:val="21"/>
                <w:szCs w:val="21"/>
              </w:rPr>
            </w:pPr>
            <w:r w:rsidRPr="009E4EF3">
              <w:rPr>
                <w:rFonts w:cstheme="minorHAnsi"/>
                <w:color w:val="auto"/>
                <w:sz w:val="21"/>
                <w:szCs w:val="21"/>
              </w:rPr>
              <w:t>2.6%</w:t>
            </w:r>
          </w:p>
        </w:tc>
        <w:tc>
          <w:tcPr>
            <w:tcW w:w="2692" w:type="dxa"/>
          </w:tcPr>
          <w:p w14:paraId="738B2ECA" w14:textId="77777777" w:rsidR="009E4EF3" w:rsidRPr="009E4EF3" w:rsidRDefault="009E4EF3" w:rsidP="009E4EF3">
            <w:pPr>
              <w:spacing w:before="0" w:after="0"/>
              <w:jc w:val="center"/>
              <w:rPr>
                <w:rFonts w:cstheme="minorHAnsi"/>
                <w:color w:val="auto"/>
                <w:sz w:val="21"/>
                <w:szCs w:val="21"/>
              </w:rPr>
            </w:pPr>
            <w:r w:rsidRPr="009E4EF3">
              <w:rPr>
                <w:rFonts w:cstheme="minorHAnsi"/>
                <w:color w:val="auto"/>
                <w:sz w:val="21"/>
                <w:szCs w:val="21"/>
              </w:rPr>
              <w:t>1.1%</w:t>
            </w:r>
          </w:p>
        </w:tc>
      </w:tr>
    </w:tbl>
    <w:p w14:paraId="30BB4239" w14:textId="77777777" w:rsidR="009E4EF3" w:rsidRPr="009E4EF3" w:rsidRDefault="009E4EF3" w:rsidP="009E4EF3">
      <w:pPr>
        <w:spacing w:before="0" w:after="0"/>
        <w:jc w:val="both"/>
        <w:rPr>
          <w:rFonts w:cstheme="minorHAnsi"/>
          <w:color w:val="auto"/>
          <w:sz w:val="21"/>
          <w:szCs w:val="21"/>
        </w:rPr>
      </w:pPr>
    </w:p>
    <w:p w14:paraId="1AE85D6D" w14:textId="77777777" w:rsidR="009E4EF3" w:rsidRPr="009E4EF3" w:rsidRDefault="009E4EF3" w:rsidP="009E4EF3">
      <w:pPr>
        <w:spacing w:before="0" w:after="0"/>
        <w:jc w:val="both"/>
        <w:rPr>
          <w:rFonts w:cstheme="minorHAnsi"/>
          <w:color w:val="auto"/>
          <w:sz w:val="21"/>
          <w:szCs w:val="21"/>
        </w:rPr>
      </w:pPr>
      <w:r w:rsidRPr="009E4EF3">
        <w:rPr>
          <w:rFonts w:cstheme="minorHAnsi"/>
          <w:color w:val="auto"/>
          <w:sz w:val="21"/>
          <w:szCs w:val="21"/>
        </w:rPr>
        <w:t xml:space="preserve">In the aforementioned report, Cluj is listed among the counties that registered, during the 2017-18 school year, the lowest rates of school dropout for the levels of education described in the above table (1%). </w:t>
      </w:r>
    </w:p>
    <w:p w14:paraId="5F54D478" w14:textId="77777777" w:rsidR="009E4EF3" w:rsidRPr="009E4EF3" w:rsidRDefault="009E4EF3" w:rsidP="009E4EF3">
      <w:pPr>
        <w:spacing w:before="0" w:after="0"/>
        <w:jc w:val="both"/>
        <w:rPr>
          <w:rFonts w:cstheme="minorHAnsi"/>
          <w:color w:val="auto"/>
          <w:sz w:val="21"/>
          <w:szCs w:val="21"/>
        </w:rPr>
      </w:pPr>
    </w:p>
    <w:p w14:paraId="5467F06F" w14:textId="77777777" w:rsidR="009E4EF3" w:rsidRPr="009E4EF3" w:rsidRDefault="009E4EF3" w:rsidP="009E4EF3">
      <w:pPr>
        <w:spacing w:before="0" w:after="0"/>
        <w:jc w:val="both"/>
        <w:rPr>
          <w:rFonts w:cstheme="minorHAnsi"/>
          <w:color w:val="auto"/>
          <w:sz w:val="21"/>
          <w:szCs w:val="21"/>
        </w:rPr>
      </w:pPr>
      <w:r w:rsidRPr="009E4EF3">
        <w:rPr>
          <w:rFonts w:cstheme="minorHAnsi"/>
          <w:color w:val="auto"/>
          <w:sz w:val="21"/>
          <w:szCs w:val="21"/>
        </w:rPr>
        <w:t>The drop-out rate among students from high schools and vocational schools in the year 2017-2018 has been 2.6%.</w:t>
      </w:r>
      <w:r w:rsidRPr="009E4EF3">
        <w:rPr>
          <w:rStyle w:val="FootnoteReference"/>
          <w:rFonts w:cstheme="minorHAnsi"/>
          <w:color w:val="auto"/>
          <w:sz w:val="21"/>
          <w:szCs w:val="21"/>
        </w:rPr>
        <w:footnoteReference w:id="23"/>
      </w:r>
      <w:r w:rsidRPr="009E4EF3">
        <w:rPr>
          <w:rFonts w:cstheme="minorHAnsi"/>
          <w:color w:val="auto"/>
          <w:sz w:val="21"/>
          <w:szCs w:val="21"/>
        </w:rPr>
        <w:t xml:space="preserve"> </w:t>
      </w:r>
    </w:p>
    <w:p w14:paraId="327FC14B" w14:textId="77777777" w:rsidR="009E4EF3" w:rsidRDefault="009E4EF3" w:rsidP="009E4EF3">
      <w:pPr>
        <w:spacing w:before="0" w:after="0"/>
        <w:jc w:val="both"/>
        <w:rPr>
          <w:rFonts w:cstheme="minorHAnsi"/>
          <w:sz w:val="21"/>
          <w:szCs w:val="21"/>
        </w:rPr>
      </w:pPr>
    </w:p>
    <w:p w14:paraId="6A273475" w14:textId="77777777" w:rsidR="009E4EF3" w:rsidRPr="007F053F" w:rsidRDefault="009E4EF3" w:rsidP="009E4EF3">
      <w:pPr>
        <w:pStyle w:val="ListParagraph"/>
        <w:spacing w:after="0" w:line="240" w:lineRule="auto"/>
        <w:ind w:left="0"/>
        <w:jc w:val="both"/>
        <w:rPr>
          <w:rFonts w:cstheme="minorHAnsi"/>
          <w:sz w:val="21"/>
          <w:szCs w:val="21"/>
        </w:rPr>
      </w:pPr>
      <w:r w:rsidRPr="00541712">
        <w:rPr>
          <w:rFonts w:cstheme="minorHAnsi"/>
          <w:b/>
          <w:sz w:val="21"/>
          <w:szCs w:val="21"/>
        </w:rPr>
        <w:t xml:space="preserve">A joint report by World Bank and the Romanian Ministry of Education </w:t>
      </w:r>
      <w:r w:rsidRPr="007F053F">
        <w:rPr>
          <w:rFonts w:cstheme="minorHAnsi"/>
          <w:sz w:val="21"/>
          <w:szCs w:val="21"/>
        </w:rPr>
        <w:t>provides an analysis of various aspects of Romanian school system, ranging from available school infrastructure to school performance.</w:t>
      </w:r>
      <w:r w:rsidRPr="007F053F">
        <w:rPr>
          <w:rStyle w:val="FootnoteReference"/>
          <w:rFonts w:cstheme="minorHAnsi"/>
          <w:sz w:val="21"/>
          <w:szCs w:val="21"/>
        </w:rPr>
        <w:footnoteReference w:id="24"/>
      </w:r>
      <w:r w:rsidRPr="007F053F">
        <w:rPr>
          <w:rFonts w:cstheme="minorHAnsi"/>
          <w:sz w:val="21"/>
          <w:szCs w:val="21"/>
        </w:rPr>
        <w:t xml:space="preserve"> Several highlights below: </w:t>
      </w:r>
    </w:p>
    <w:p w14:paraId="7D146104" w14:textId="77777777" w:rsidR="009E4EF3" w:rsidRPr="007F053F" w:rsidRDefault="009E4EF3" w:rsidP="009E4EF3">
      <w:pPr>
        <w:spacing w:before="0" w:after="0"/>
        <w:jc w:val="both"/>
        <w:rPr>
          <w:rFonts w:cstheme="minorHAnsi"/>
          <w:sz w:val="21"/>
          <w:szCs w:val="21"/>
        </w:rPr>
      </w:pPr>
    </w:p>
    <w:p w14:paraId="11DAC19B" w14:textId="77777777" w:rsidR="009E4EF3" w:rsidRPr="007F053F" w:rsidRDefault="009E4EF3" w:rsidP="009E4EF3">
      <w:pPr>
        <w:pStyle w:val="ListParagraph"/>
        <w:numPr>
          <w:ilvl w:val="0"/>
          <w:numId w:val="6"/>
        </w:numPr>
        <w:spacing w:after="0" w:line="240" w:lineRule="auto"/>
        <w:jc w:val="both"/>
        <w:rPr>
          <w:rFonts w:cstheme="minorHAnsi"/>
          <w:sz w:val="21"/>
          <w:szCs w:val="21"/>
        </w:rPr>
      </w:pPr>
      <w:r w:rsidRPr="007F053F">
        <w:rPr>
          <w:rFonts w:cstheme="minorHAnsi"/>
          <w:sz w:val="21"/>
          <w:szCs w:val="21"/>
        </w:rPr>
        <w:t xml:space="preserve">Although the problem of overcrowding in Romanian schools is partially solved by organizing teaching shifts/slots, (22% of Romanian children study in overcrowded schools), Cluj county performs well (4 categories of school capacity index, Cluj ranks in the third – where 1 </w:t>
      </w:r>
      <w:proofErr w:type="spellStart"/>
      <w:r w:rsidRPr="007F053F">
        <w:rPr>
          <w:rFonts w:cstheme="minorHAnsi"/>
          <w:sz w:val="21"/>
          <w:szCs w:val="21"/>
        </w:rPr>
        <w:t>st</w:t>
      </w:r>
      <w:proofErr w:type="spellEnd"/>
      <w:r w:rsidRPr="007F053F">
        <w:rPr>
          <w:rFonts w:cstheme="minorHAnsi"/>
          <w:sz w:val="21"/>
          <w:szCs w:val="21"/>
        </w:rPr>
        <w:t xml:space="preserve"> means serious overcrowding). (SIIIR)</w:t>
      </w:r>
    </w:p>
    <w:p w14:paraId="10420132"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In terms of availability of access ramps, Cluj county ranks poorly (the 6</w:t>
      </w:r>
      <w:r w:rsidRPr="007F053F">
        <w:rPr>
          <w:rFonts w:cstheme="minorHAnsi"/>
          <w:sz w:val="21"/>
          <w:szCs w:val="21"/>
          <w:vertAlign w:val="superscript"/>
        </w:rPr>
        <w:t>th</w:t>
      </w:r>
      <w:r w:rsidRPr="007F053F">
        <w:rPr>
          <w:rFonts w:cstheme="minorHAnsi"/>
          <w:sz w:val="21"/>
          <w:szCs w:val="21"/>
        </w:rPr>
        <w:t xml:space="preserve"> out of 41 counties, in terms of number of schools without an access ramp; more than 60% of schools do not have an access ramp) (SIIIR)</w:t>
      </w:r>
    </w:p>
    <w:p w14:paraId="4F34A33F"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 xml:space="preserve">Cluj county ranks in the top 25% counties in Romania by the percentage of schools that have a library (SIIIR), but in the lowest 25% by the percentage of schools that have science labs (SIIIR). In only 17 counties less than 10% of children learn in schools heated by furnaces (Cluj is among them). In Giurgiu and </w:t>
      </w:r>
      <w:proofErr w:type="spellStart"/>
      <w:r w:rsidRPr="007F053F">
        <w:rPr>
          <w:rFonts w:cstheme="minorHAnsi"/>
          <w:sz w:val="21"/>
          <w:szCs w:val="21"/>
        </w:rPr>
        <w:t>Mehedinti</w:t>
      </w:r>
      <w:proofErr w:type="spellEnd"/>
      <w:r w:rsidRPr="007F053F">
        <w:rPr>
          <w:rFonts w:cstheme="minorHAnsi"/>
          <w:sz w:val="21"/>
          <w:szCs w:val="21"/>
        </w:rPr>
        <w:t xml:space="preserve"> counties the percentage is above 30. (SIIIR) Cluj is in the bottom 25% of counties in terms of schools without toilets – as in, few schools are without toilets. In Cluj county there are about 20% of schools that function without sanitary authorization (SIIIR). Cluj county ranks in the middle in terms of student teacher ratio at all levels of education (SIIIR and EDUSAL). Cluj ranks in the middle in terms of beneficiaries for the second chance program (slightly lower than median) (SIIIR and EDUSAL).</w:t>
      </w:r>
    </w:p>
    <w:p w14:paraId="316777B0"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Cluj county is among the 25% of counties where there are rather small problems of accessibility of transport to go to school (ARACIP 2013-2014)</w:t>
      </w:r>
    </w:p>
    <w:p w14:paraId="69675F92"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Cluj county is in the upper half by number of students that re-enroll/repeat a year (SIIIR)</w:t>
      </w:r>
    </w:p>
    <w:p w14:paraId="3DCA4C91"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 xml:space="preserve">Cluj county is among the few counties with the lowest rates of school dropout, at all levels of education (SIIIR). It also among only a handful of counties where school dropout is higher in urban contexts (usually, it is the other way around) (SIIIR). </w:t>
      </w:r>
    </w:p>
    <w:p w14:paraId="14E81911"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Proportion of those graduating high school is 84% nationally, and for those graduating from vocational school is 81%. Proportion of female graduates is higher than that of male graduates. High-school graduation is uniform across urban rural divide; differences are recorded in terms of vocational schools, with smaller proportions in the rural areas. (SIIIR 2014 2015)</w:t>
      </w:r>
    </w:p>
    <w:p w14:paraId="2716521B"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Performance for 8</w:t>
      </w:r>
      <w:r w:rsidRPr="007F053F">
        <w:rPr>
          <w:rFonts w:cstheme="minorHAnsi"/>
          <w:sz w:val="21"/>
          <w:szCs w:val="21"/>
          <w:vertAlign w:val="superscript"/>
        </w:rPr>
        <w:t>th</w:t>
      </w:r>
      <w:r w:rsidRPr="007F053F">
        <w:rPr>
          <w:rFonts w:cstheme="minorHAnsi"/>
          <w:sz w:val="21"/>
          <w:szCs w:val="21"/>
        </w:rPr>
        <w:t xml:space="preserve"> grade capacity exam, Cluj county is in top 4 counties in the country. Girls perform better, but in Cluj county differences are not important. Urban rural divide plays a key role, with performance in rural areas being, at times, much lower than in urban areas. (SIIIR 2014 2015)</w:t>
      </w:r>
    </w:p>
    <w:p w14:paraId="1E58A0BD"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For high school final exams (Baccalaureate), cities in Cluj county had the highest national average, and rural areas of Cluj county were in top 3. (SIIIR 2014 2015)</w:t>
      </w:r>
    </w:p>
    <w:p w14:paraId="491B3EB6"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lastRenderedPageBreak/>
        <w:t>Study shows that in Romania, school infrastructure (school libraries, labs and sports facilities) correlate positively with performance</w:t>
      </w:r>
    </w:p>
    <w:p w14:paraId="3541B3F8"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Babes-</w:t>
      </w:r>
      <w:proofErr w:type="spellStart"/>
      <w:r w:rsidRPr="007F053F">
        <w:rPr>
          <w:rFonts w:cstheme="minorHAnsi"/>
          <w:sz w:val="21"/>
          <w:szCs w:val="21"/>
        </w:rPr>
        <w:t>Bolyai</w:t>
      </w:r>
      <w:proofErr w:type="spellEnd"/>
      <w:r w:rsidRPr="007F053F">
        <w:rPr>
          <w:rFonts w:cstheme="minorHAnsi"/>
          <w:sz w:val="21"/>
          <w:szCs w:val="21"/>
        </w:rPr>
        <w:t xml:space="preserve"> University has more than 50% students from rural areas (UEFISCDI 2015/2016) – highest in the country</w:t>
      </w:r>
    </w:p>
    <w:p w14:paraId="34A2017E"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Babes-</w:t>
      </w:r>
      <w:proofErr w:type="spellStart"/>
      <w:r w:rsidRPr="007F053F">
        <w:rPr>
          <w:rFonts w:cstheme="minorHAnsi"/>
          <w:sz w:val="21"/>
          <w:szCs w:val="21"/>
        </w:rPr>
        <w:t>Bolyai</w:t>
      </w:r>
      <w:proofErr w:type="spellEnd"/>
      <w:r w:rsidRPr="007F053F">
        <w:rPr>
          <w:rFonts w:cstheme="minorHAnsi"/>
          <w:sz w:val="21"/>
          <w:szCs w:val="21"/>
        </w:rPr>
        <w:t xml:space="preserve"> University has the highest number of applications for dorm accommodation in the country – almost 10,000 (UEFISCDI 2015/2016)</w:t>
      </w:r>
    </w:p>
    <w:p w14:paraId="462014CB"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Employers consider that competences are not well acquired among university graduates; they agree that theoretical background is sufficient, but graduates lack basic notions of business, do not possess analytical and problem solving skills, and do not have socio-emotional skills allowing them to adapt to the work place. (world bank survey 2017 among employers) 40% totally disagree that universities offer practical skills that can be applied at work place and 26% partially disagree. 61% total and partial disagreement – vis a vis personal competences of time management, confidence, team work abilities</w:t>
      </w:r>
    </w:p>
    <w:p w14:paraId="57CA774D" w14:textId="77777777" w:rsidR="009E4EF3" w:rsidRPr="007F053F" w:rsidRDefault="009E4EF3" w:rsidP="009E4EF3">
      <w:pPr>
        <w:pStyle w:val="ListParagraph"/>
        <w:numPr>
          <w:ilvl w:val="0"/>
          <w:numId w:val="5"/>
        </w:numPr>
        <w:spacing w:after="0" w:line="240" w:lineRule="auto"/>
        <w:jc w:val="both"/>
        <w:rPr>
          <w:rFonts w:cstheme="minorHAnsi"/>
          <w:sz w:val="21"/>
          <w:szCs w:val="21"/>
        </w:rPr>
      </w:pPr>
      <w:r w:rsidRPr="007F053F">
        <w:rPr>
          <w:rFonts w:cstheme="minorHAnsi"/>
          <w:sz w:val="21"/>
          <w:szCs w:val="21"/>
        </w:rPr>
        <w:t xml:space="preserve">Cluj </w:t>
      </w:r>
      <w:proofErr w:type="spellStart"/>
      <w:r w:rsidRPr="007F053F">
        <w:rPr>
          <w:rFonts w:cstheme="minorHAnsi"/>
          <w:sz w:val="21"/>
          <w:szCs w:val="21"/>
        </w:rPr>
        <w:t>Napoca</w:t>
      </w:r>
      <w:proofErr w:type="spellEnd"/>
      <w:r w:rsidRPr="007F053F">
        <w:rPr>
          <w:rFonts w:cstheme="minorHAnsi"/>
          <w:sz w:val="21"/>
          <w:szCs w:val="21"/>
        </w:rPr>
        <w:t xml:space="preserve"> is given as an example of universities reaching out to corporate players – a PhD program at Babes </w:t>
      </w:r>
      <w:proofErr w:type="spellStart"/>
      <w:r w:rsidRPr="007F053F">
        <w:rPr>
          <w:rFonts w:cstheme="minorHAnsi"/>
          <w:sz w:val="21"/>
          <w:szCs w:val="21"/>
        </w:rPr>
        <w:t>Bolyai</w:t>
      </w:r>
      <w:proofErr w:type="spellEnd"/>
      <w:r w:rsidRPr="007F053F">
        <w:rPr>
          <w:rFonts w:cstheme="minorHAnsi"/>
          <w:sz w:val="21"/>
          <w:szCs w:val="21"/>
        </w:rPr>
        <w:t xml:space="preserve"> University is implemented in partnership with several IT companies</w:t>
      </w:r>
    </w:p>
    <w:p w14:paraId="0D4FB0B9" w14:textId="77777777" w:rsidR="009E4EF3" w:rsidRPr="007F053F" w:rsidRDefault="009E4EF3" w:rsidP="009E4EF3">
      <w:pPr>
        <w:spacing w:before="0" w:after="0"/>
        <w:jc w:val="both"/>
        <w:rPr>
          <w:rFonts w:cstheme="minorHAnsi"/>
          <w:sz w:val="21"/>
          <w:szCs w:val="21"/>
        </w:rPr>
      </w:pPr>
    </w:p>
    <w:p w14:paraId="453B6453" w14:textId="77777777" w:rsidR="00712EC0" w:rsidRDefault="00712EC0" w:rsidP="009E4EF3">
      <w:pPr>
        <w:spacing w:before="0" w:after="0"/>
        <w:rPr>
          <w:b/>
          <w:sz w:val="28"/>
          <w:szCs w:val="28"/>
          <w:lang w:val="ro-RO"/>
        </w:rPr>
      </w:pPr>
    </w:p>
    <w:p w14:paraId="1284AA0F" w14:textId="77777777" w:rsidR="009E4EF3" w:rsidRPr="009E4EF3" w:rsidRDefault="009E4EF3" w:rsidP="009E4EF3">
      <w:pPr>
        <w:spacing w:before="0" w:after="0"/>
        <w:rPr>
          <w:b/>
          <w:sz w:val="28"/>
          <w:szCs w:val="28"/>
          <w:lang w:val="ro-RO"/>
        </w:rPr>
      </w:pPr>
    </w:p>
    <w:p w14:paraId="067CB621" w14:textId="77777777" w:rsidR="009E4EF3" w:rsidRDefault="009E4EF3" w:rsidP="009E4EF3">
      <w:pPr>
        <w:pStyle w:val="LEAP-Heading4"/>
        <w:spacing w:before="0" w:after="0"/>
        <w:rPr>
          <w:lang w:val="ro-RO"/>
        </w:rPr>
      </w:pPr>
      <w:r w:rsidRPr="009E4EF3">
        <w:rPr>
          <w:rFonts w:cstheme="minorHAnsi"/>
        </w:rPr>
        <w:t>Research reports and academic studies on education</w:t>
      </w:r>
      <w:r w:rsidRPr="009E4EF3">
        <w:rPr>
          <w:lang w:val="ro-RO"/>
        </w:rPr>
        <w:t xml:space="preserve"> </w:t>
      </w:r>
    </w:p>
    <w:p w14:paraId="7963B7B2" w14:textId="77777777" w:rsidR="009E4EF3" w:rsidRDefault="009E4EF3" w:rsidP="009E4EF3">
      <w:pPr>
        <w:spacing w:before="0" w:after="0"/>
        <w:rPr>
          <w:lang w:val="ro-RO"/>
        </w:rPr>
      </w:pPr>
    </w:p>
    <w:p w14:paraId="018B3236" w14:textId="77777777" w:rsidR="009E4EF3" w:rsidRPr="009E4EF3" w:rsidRDefault="009E4EF3" w:rsidP="009E4EF3">
      <w:pPr>
        <w:spacing w:before="0" w:after="0"/>
        <w:rPr>
          <w:lang w:val="ro-RO"/>
        </w:rPr>
      </w:pPr>
    </w:p>
    <w:p w14:paraId="5411EF8C" w14:textId="77777777" w:rsidR="009E4EF3" w:rsidRPr="009E4EF3" w:rsidRDefault="009E4EF3" w:rsidP="009E4EF3">
      <w:pPr>
        <w:pStyle w:val="ListParagraph"/>
        <w:spacing w:after="0" w:line="240" w:lineRule="auto"/>
        <w:ind w:left="-142"/>
        <w:jc w:val="both"/>
        <w:rPr>
          <w:rFonts w:cstheme="minorHAnsi"/>
          <w:sz w:val="21"/>
          <w:szCs w:val="21"/>
        </w:rPr>
      </w:pPr>
      <w:r w:rsidRPr="009E4EF3">
        <w:rPr>
          <w:rFonts w:cstheme="minorHAnsi"/>
          <w:sz w:val="21"/>
          <w:szCs w:val="21"/>
        </w:rPr>
        <w:t>The study ‘</w:t>
      </w:r>
      <w:proofErr w:type="spellStart"/>
      <w:r w:rsidRPr="009E4EF3">
        <w:rPr>
          <w:rFonts w:cstheme="minorHAnsi"/>
          <w:b/>
          <w:sz w:val="21"/>
          <w:szCs w:val="21"/>
        </w:rPr>
        <w:t>Educatie</w:t>
      </w:r>
      <w:proofErr w:type="spellEnd"/>
      <w:r w:rsidRPr="009E4EF3">
        <w:rPr>
          <w:rFonts w:cstheme="minorHAnsi"/>
          <w:b/>
          <w:sz w:val="21"/>
          <w:szCs w:val="21"/>
        </w:rPr>
        <w:t xml:space="preserve"> </w:t>
      </w:r>
      <w:proofErr w:type="spellStart"/>
      <w:r w:rsidRPr="009E4EF3">
        <w:rPr>
          <w:rFonts w:cstheme="minorHAnsi"/>
          <w:b/>
          <w:sz w:val="21"/>
          <w:szCs w:val="21"/>
        </w:rPr>
        <w:t>pentru</w:t>
      </w:r>
      <w:proofErr w:type="spellEnd"/>
      <w:r w:rsidRPr="009E4EF3">
        <w:rPr>
          <w:rFonts w:cstheme="minorHAnsi"/>
          <w:b/>
          <w:sz w:val="21"/>
          <w:szCs w:val="21"/>
        </w:rPr>
        <w:t xml:space="preserve"> </w:t>
      </w:r>
      <w:proofErr w:type="spellStart"/>
      <w:r w:rsidRPr="009E4EF3">
        <w:rPr>
          <w:rFonts w:cstheme="minorHAnsi"/>
          <w:b/>
          <w:sz w:val="21"/>
          <w:szCs w:val="21"/>
        </w:rPr>
        <w:t>democratie</w:t>
      </w:r>
      <w:proofErr w:type="spellEnd"/>
      <w:r w:rsidRPr="009E4EF3">
        <w:rPr>
          <w:rFonts w:cstheme="minorHAnsi"/>
          <w:b/>
          <w:sz w:val="21"/>
          <w:szCs w:val="21"/>
        </w:rPr>
        <w:t xml:space="preserve"> in </w:t>
      </w:r>
      <w:proofErr w:type="spellStart"/>
      <w:r w:rsidRPr="009E4EF3">
        <w:rPr>
          <w:rFonts w:cstheme="minorHAnsi"/>
          <w:b/>
          <w:sz w:val="21"/>
          <w:szCs w:val="21"/>
        </w:rPr>
        <w:t>scolile</w:t>
      </w:r>
      <w:proofErr w:type="spellEnd"/>
      <w:r w:rsidRPr="009E4EF3">
        <w:rPr>
          <w:rFonts w:cstheme="minorHAnsi"/>
          <w:b/>
          <w:sz w:val="21"/>
          <w:szCs w:val="21"/>
        </w:rPr>
        <w:t xml:space="preserve"> din Romania’</w:t>
      </w:r>
      <w:r w:rsidRPr="009E4EF3">
        <w:rPr>
          <w:rFonts w:cstheme="minorHAnsi"/>
          <w:sz w:val="21"/>
          <w:szCs w:val="21"/>
        </w:rPr>
        <w:t xml:space="preserve"> (Democratic education in Romanian schools)</w:t>
      </w:r>
      <w:r w:rsidRPr="009E4EF3">
        <w:rPr>
          <w:rStyle w:val="FootnoteReference"/>
          <w:rFonts w:cstheme="minorHAnsi"/>
          <w:sz w:val="21"/>
          <w:szCs w:val="21"/>
        </w:rPr>
        <w:footnoteReference w:id="25"/>
      </w:r>
      <w:r w:rsidRPr="009E4EF3">
        <w:rPr>
          <w:rFonts w:cstheme="minorHAnsi"/>
          <w:sz w:val="21"/>
          <w:szCs w:val="21"/>
        </w:rPr>
        <w:t xml:space="preserve"> from 20</w:t>
      </w:r>
      <w:r w:rsidR="004024A2">
        <w:rPr>
          <w:rFonts w:cstheme="minorHAnsi"/>
          <w:sz w:val="21"/>
          <w:szCs w:val="21"/>
        </w:rPr>
        <w:t xml:space="preserve">18 captures Romanian teachers’ </w:t>
      </w:r>
      <w:r w:rsidRPr="009E4EF3">
        <w:rPr>
          <w:rFonts w:cstheme="minorHAnsi"/>
          <w:sz w:val="21"/>
          <w:szCs w:val="21"/>
        </w:rPr>
        <w:t>assessment of a wide range of issues related to the educational system and the teaching profession. The study is based on a survey with school teachers from Romania (1427 respondents) and focus-groups with teachers from different areas of the country.</w:t>
      </w:r>
    </w:p>
    <w:p w14:paraId="4F1FB4F6" w14:textId="77777777" w:rsidR="009E4EF3" w:rsidRPr="009E4EF3" w:rsidRDefault="009E4EF3" w:rsidP="009E4EF3">
      <w:pPr>
        <w:pStyle w:val="ListParagraph"/>
        <w:spacing w:after="0" w:line="240" w:lineRule="auto"/>
        <w:ind w:left="-142"/>
        <w:jc w:val="both"/>
        <w:rPr>
          <w:rFonts w:cstheme="minorHAnsi"/>
          <w:sz w:val="21"/>
          <w:szCs w:val="21"/>
        </w:rPr>
      </w:pPr>
    </w:p>
    <w:p w14:paraId="0E6E2447" w14:textId="77777777" w:rsidR="009E4EF3" w:rsidRPr="009E4EF3" w:rsidRDefault="009E4EF3" w:rsidP="009E4EF3">
      <w:pPr>
        <w:spacing w:before="0" w:after="0"/>
        <w:jc w:val="both"/>
        <w:rPr>
          <w:rFonts w:cstheme="minorHAnsi"/>
          <w:color w:val="auto"/>
          <w:sz w:val="21"/>
          <w:szCs w:val="21"/>
        </w:rPr>
      </w:pPr>
      <w:r w:rsidRPr="009E4EF3">
        <w:rPr>
          <w:rFonts w:cstheme="minorHAnsi"/>
          <w:color w:val="auto"/>
          <w:sz w:val="21"/>
          <w:szCs w:val="21"/>
        </w:rPr>
        <w:t>Selected highlights:</w:t>
      </w:r>
    </w:p>
    <w:p w14:paraId="32726247" w14:textId="77777777" w:rsidR="009E4EF3" w:rsidRPr="009E4EF3" w:rsidRDefault="009E4EF3" w:rsidP="009E4EF3">
      <w:pPr>
        <w:spacing w:before="0" w:after="0"/>
        <w:jc w:val="both"/>
        <w:rPr>
          <w:rFonts w:cstheme="minorHAnsi"/>
          <w:color w:val="auto"/>
          <w:sz w:val="21"/>
          <w:szCs w:val="21"/>
        </w:rPr>
      </w:pPr>
    </w:p>
    <w:p w14:paraId="69311741" w14:textId="77777777" w:rsidR="009E4EF3" w:rsidRPr="009E4EF3" w:rsidRDefault="009E4EF3" w:rsidP="009E4EF3">
      <w:pPr>
        <w:pStyle w:val="ListParagraph"/>
        <w:numPr>
          <w:ilvl w:val="0"/>
          <w:numId w:val="7"/>
        </w:numPr>
        <w:spacing w:after="0" w:line="240" w:lineRule="auto"/>
        <w:jc w:val="both"/>
        <w:rPr>
          <w:rFonts w:cstheme="minorHAnsi"/>
          <w:sz w:val="21"/>
          <w:szCs w:val="21"/>
        </w:rPr>
      </w:pPr>
      <w:r w:rsidRPr="009E4EF3">
        <w:rPr>
          <w:rFonts w:cstheme="minorHAnsi"/>
          <w:sz w:val="21"/>
          <w:szCs w:val="21"/>
        </w:rPr>
        <w:t xml:space="preserve">13% of school teachers would endorse an approach where Roma students are placed in separate classrooms </w:t>
      </w:r>
    </w:p>
    <w:p w14:paraId="1B56142C" w14:textId="77777777" w:rsidR="009E4EF3" w:rsidRPr="009E4EF3" w:rsidRDefault="009E4EF3" w:rsidP="009E4EF3">
      <w:pPr>
        <w:pStyle w:val="ListParagraph"/>
        <w:numPr>
          <w:ilvl w:val="0"/>
          <w:numId w:val="7"/>
        </w:numPr>
        <w:spacing w:after="0" w:line="240" w:lineRule="auto"/>
        <w:jc w:val="both"/>
        <w:rPr>
          <w:rFonts w:cstheme="minorHAnsi"/>
          <w:sz w:val="21"/>
          <w:szCs w:val="21"/>
        </w:rPr>
      </w:pPr>
      <w:r w:rsidRPr="009E4EF3">
        <w:rPr>
          <w:rFonts w:cstheme="minorHAnsi"/>
          <w:sz w:val="21"/>
          <w:szCs w:val="21"/>
        </w:rPr>
        <w:t>Teachers’ perception on schools’ ability to offer equal chances to all students: about 73% of respondents argue that Romanian schools succeed to deliver equal chances to all students; there is certain regional variation in teacher’s perceptions: West and North West of Romania are the regions with the highest percentages of teachers in whose opinion schools are able to ensure equal chances for all students (81% and 77.4% respectively).  The same study shows that teachers are aware of the disadvantages faced by students from rural areas. Such disadvantages are generated by the comparatively limited resources of schools and families.</w:t>
      </w:r>
      <w:r w:rsidRPr="009E4EF3">
        <w:rPr>
          <w:rStyle w:val="FootnoteReference"/>
          <w:rFonts w:cstheme="minorHAnsi"/>
          <w:sz w:val="21"/>
          <w:szCs w:val="21"/>
        </w:rPr>
        <w:footnoteReference w:id="26"/>
      </w:r>
    </w:p>
    <w:p w14:paraId="5050A39D" w14:textId="77777777" w:rsidR="009E4EF3" w:rsidRPr="009E4EF3" w:rsidRDefault="009E4EF3" w:rsidP="009E4EF3">
      <w:pPr>
        <w:pStyle w:val="ListParagraph"/>
        <w:numPr>
          <w:ilvl w:val="0"/>
          <w:numId w:val="7"/>
        </w:numPr>
        <w:spacing w:after="0" w:line="240" w:lineRule="auto"/>
        <w:jc w:val="both"/>
        <w:rPr>
          <w:rFonts w:cstheme="minorHAnsi"/>
          <w:sz w:val="21"/>
          <w:szCs w:val="21"/>
        </w:rPr>
      </w:pPr>
      <w:r w:rsidRPr="009E4EF3">
        <w:rPr>
          <w:rFonts w:cstheme="minorHAnsi"/>
          <w:sz w:val="21"/>
          <w:szCs w:val="21"/>
        </w:rPr>
        <w:t>The ranking of school-level problems identified by teachers who took part in the survey (the values in the graph represent the cumulated percentages of teachers who chose the answers ‘to a large extent’ or ‘to a very large extent’ for the question ‘In your school, to what extent do you face the following problems?’)</w:t>
      </w:r>
    </w:p>
    <w:p w14:paraId="40A1B0C0" w14:textId="77777777" w:rsidR="009E4EF3" w:rsidRPr="007F053F" w:rsidRDefault="009E4EF3" w:rsidP="009E4EF3">
      <w:pPr>
        <w:spacing w:before="0" w:after="0"/>
        <w:jc w:val="both"/>
        <w:rPr>
          <w:rFonts w:cstheme="minorHAnsi"/>
          <w:sz w:val="21"/>
          <w:szCs w:val="21"/>
        </w:rPr>
      </w:pPr>
    </w:p>
    <w:p w14:paraId="1606931D" w14:textId="77777777" w:rsidR="009E4EF3" w:rsidRPr="007F053F" w:rsidRDefault="009E4EF3" w:rsidP="009E4EF3">
      <w:pPr>
        <w:spacing w:before="0" w:after="0"/>
        <w:jc w:val="both"/>
        <w:rPr>
          <w:rFonts w:cstheme="minorHAnsi"/>
          <w:sz w:val="21"/>
          <w:szCs w:val="21"/>
        </w:rPr>
      </w:pPr>
      <w:r w:rsidRPr="007F053F">
        <w:rPr>
          <w:rFonts w:cstheme="minorHAnsi"/>
          <w:noProof/>
          <w:sz w:val="21"/>
          <w:szCs w:val="21"/>
          <w:lang w:eastAsia="en-US"/>
        </w:rPr>
        <w:lastRenderedPageBreak/>
        <w:drawing>
          <wp:inline distT="0" distB="0" distL="0" distR="0" wp14:anchorId="456BF232" wp14:editId="593740A7">
            <wp:extent cx="6452558" cy="3872865"/>
            <wp:effectExtent l="0" t="0" r="571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467F74" w14:textId="77777777" w:rsidR="009E4EF3" w:rsidRPr="004024A2" w:rsidRDefault="009E4EF3" w:rsidP="009E4EF3">
      <w:pPr>
        <w:tabs>
          <w:tab w:val="left" w:pos="4055"/>
        </w:tabs>
        <w:spacing w:before="0" w:after="0"/>
        <w:jc w:val="right"/>
        <w:rPr>
          <w:rFonts w:cstheme="minorHAnsi"/>
          <w:color w:val="auto"/>
          <w:sz w:val="21"/>
          <w:szCs w:val="21"/>
        </w:rPr>
      </w:pPr>
      <w:r w:rsidRPr="004024A2">
        <w:rPr>
          <w:rFonts w:cstheme="minorHAnsi"/>
          <w:color w:val="auto"/>
          <w:sz w:val="21"/>
          <w:szCs w:val="21"/>
        </w:rPr>
        <w:t xml:space="preserve">Graph constructed with data from </w:t>
      </w:r>
      <w:proofErr w:type="spellStart"/>
      <w:r w:rsidRPr="004024A2">
        <w:rPr>
          <w:rFonts w:cstheme="minorHAnsi"/>
          <w:color w:val="auto"/>
          <w:sz w:val="21"/>
          <w:szCs w:val="21"/>
        </w:rPr>
        <w:t>Badescu</w:t>
      </w:r>
      <w:proofErr w:type="spellEnd"/>
      <w:r w:rsidRPr="004024A2">
        <w:rPr>
          <w:rFonts w:cstheme="minorHAnsi"/>
          <w:color w:val="auto"/>
          <w:sz w:val="21"/>
          <w:szCs w:val="21"/>
        </w:rPr>
        <w:t xml:space="preserve"> et al. 2018, p. 32. </w:t>
      </w:r>
    </w:p>
    <w:p w14:paraId="4C94364B" w14:textId="77777777" w:rsidR="009E4EF3" w:rsidRPr="009E4EF3" w:rsidRDefault="009E4EF3" w:rsidP="009E4EF3">
      <w:pPr>
        <w:tabs>
          <w:tab w:val="left" w:pos="4055"/>
        </w:tabs>
        <w:spacing w:before="0" w:after="0"/>
        <w:jc w:val="both"/>
        <w:rPr>
          <w:rFonts w:cstheme="minorHAnsi"/>
          <w:color w:val="auto"/>
          <w:sz w:val="21"/>
          <w:szCs w:val="21"/>
        </w:rPr>
      </w:pPr>
    </w:p>
    <w:p w14:paraId="6CF3BB14" w14:textId="77777777" w:rsidR="009E4EF3" w:rsidRPr="009E4EF3" w:rsidRDefault="009E4EF3" w:rsidP="009E4EF3">
      <w:pPr>
        <w:spacing w:before="0" w:after="0"/>
        <w:contextualSpacing/>
        <w:jc w:val="both"/>
        <w:rPr>
          <w:rFonts w:eastAsia="Times New Roman" w:cstheme="minorHAnsi"/>
          <w:noProof/>
          <w:color w:val="auto"/>
          <w:sz w:val="21"/>
          <w:szCs w:val="21"/>
        </w:rPr>
      </w:pPr>
      <w:r w:rsidRPr="009E4EF3">
        <w:rPr>
          <w:rFonts w:cstheme="minorHAnsi"/>
          <w:color w:val="auto"/>
          <w:sz w:val="21"/>
          <w:szCs w:val="21"/>
        </w:rPr>
        <w:t xml:space="preserve">While data is not specifically reported in relation to counties or cities, the teachers from the North West region, to which Cluj-Napoca belongs, reported the following two issues as being the most serious in their school (by percentage of respondents who mentioned the problem from the available list of issues): </w:t>
      </w:r>
      <w:r w:rsidRPr="009E4EF3">
        <w:rPr>
          <w:rFonts w:eastAsia="Times New Roman" w:cstheme="minorHAnsi"/>
          <w:noProof/>
          <w:color w:val="auto"/>
          <w:sz w:val="21"/>
          <w:szCs w:val="21"/>
        </w:rPr>
        <w:t xml:space="preserve">Students’ poor learning outcomes (27.1% of respondents), </w:t>
      </w:r>
      <w:r w:rsidRPr="009E4EF3">
        <w:rPr>
          <w:rFonts w:eastAsia="Calibri" w:cstheme="minorHAnsi"/>
          <w:noProof/>
          <w:color w:val="auto"/>
          <w:sz w:val="21"/>
          <w:szCs w:val="21"/>
        </w:rPr>
        <w:t>Poor equipment of school laboratories (27% of respondents).</w:t>
      </w:r>
    </w:p>
    <w:p w14:paraId="5D5CD451" w14:textId="77777777" w:rsidR="009E4EF3" w:rsidRPr="009E4EF3" w:rsidRDefault="009E4EF3" w:rsidP="009E4EF3">
      <w:pPr>
        <w:tabs>
          <w:tab w:val="left" w:pos="4055"/>
        </w:tabs>
        <w:spacing w:before="0" w:after="0"/>
        <w:jc w:val="both"/>
        <w:rPr>
          <w:rFonts w:cstheme="minorHAnsi"/>
          <w:color w:val="auto"/>
          <w:sz w:val="21"/>
          <w:szCs w:val="21"/>
        </w:rPr>
      </w:pPr>
    </w:p>
    <w:p w14:paraId="4D4A108D" w14:textId="77777777" w:rsidR="009E4EF3" w:rsidRPr="009E4EF3" w:rsidRDefault="009E4EF3" w:rsidP="009E4EF3">
      <w:pPr>
        <w:tabs>
          <w:tab w:val="left" w:pos="4055"/>
        </w:tabs>
        <w:spacing w:before="0" w:after="0"/>
        <w:jc w:val="both"/>
        <w:rPr>
          <w:rFonts w:cstheme="minorHAnsi"/>
          <w:color w:val="auto"/>
          <w:sz w:val="21"/>
          <w:szCs w:val="21"/>
        </w:rPr>
      </w:pPr>
      <w:r w:rsidRPr="009E4EF3">
        <w:rPr>
          <w:rFonts w:cstheme="minorHAnsi"/>
          <w:color w:val="auto"/>
          <w:sz w:val="21"/>
          <w:szCs w:val="21"/>
        </w:rPr>
        <w:t>The same study reveals comparative disadvantages of rural schools in terms of human resources:  schools from villages tend to have less qualified teachers, as well as teachers with less experience in the didactic profession.</w:t>
      </w:r>
      <w:r w:rsidRPr="009E4EF3">
        <w:rPr>
          <w:rStyle w:val="FootnoteReference"/>
          <w:rFonts w:cstheme="minorHAnsi"/>
          <w:color w:val="auto"/>
          <w:sz w:val="21"/>
          <w:szCs w:val="21"/>
        </w:rPr>
        <w:footnoteReference w:id="27"/>
      </w:r>
      <w:r w:rsidRPr="009E4EF3">
        <w:rPr>
          <w:rFonts w:cstheme="minorHAnsi"/>
          <w:color w:val="auto"/>
          <w:sz w:val="21"/>
          <w:szCs w:val="21"/>
        </w:rPr>
        <w:t xml:space="preserve"> </w:t>
      </w:r>
    </w:p>
    <w:p w14:paraId="2D69C4FE" w14:textId="77777777" w:rsidR="009E4EF3" w:rsidRPr="009E4EF3" w:rsidRDefault="009E4EF3" w:rsidP="009E4EF3">
      <w:pPr>
        <w:tabs>
          <w:tab w:val="left" w:pos="4055"/>
        </w:tabs>
        <w:spacing w:before="0" w:after="0"/>
        <w:jc w:val="both"/>
        <w:rPr>
          <w:rFonts w:cstheme="minorHAnsi"/>
          <w:color w:val="auto"/>
          <w:sz w:val="21"/>
          <w:szCs w:val="21"/>
        </w:rPr>
      </w:pPr>
    </w:p>
    <w:p w14:paraId="4DB720F6" w14:textId="77777777" w:rsidR="009E4EF3" w:rsidRPr="004024A2" w:rsidRDefault="009E4EF3" w:rsidP="009E4EF3">
      <w:pPr>
        <w:tabs>
          <w:tab w:val="left" w:pos="4055"/>
        </w:tabs>
        <w:spacing w:before="0" w:after="0"/>
        <w:jc w:val="both"/>
        <w:rPr>
          <w:rFonts w:cstheme="minorHAnsi"/>
          <w:color w:val="auto"/>
          <w:sz w:val="21"/>
          <w:szCs w:val="21"/>
        </w:rPr>
      </w:pPr>
      <w:r w:rsidRPr="009E4EF3">
        <w:rPr>
          <w:rFonts w:cstheme="minorHAnsi"/>
          <w:color w:val="auto"/>
          <w:sz w:val="21"/>
          <w:szCs w:val="21"/>
        </w:rPr>
        <w:t xml:space="preserve">The study also included a component covering teachers’ assessment on the ability of schools to contribute to students’ civic skills. The wide agreement on the usefulness of civic education and the need for schools to nourish good citizenship skills among students is accompanied by the observation that schools can only build on prerequisites already shaped within family. </w:t>
      </w:r>
    </w:p>
    <w:p w14:paraId="05784B4C" w14:textId="77777777" w:rsidR="009E4EF3" w:rsidRPr="007F053F" w:rsidRDefault="009E4EF3" w:rsidP="009E4EF3">
      <w:pPr>
        <w:tabs>
          <w:tab w:val="left" w:pos="4055"/>
        </w:tabs>
        <w:spacing w:before="0" w:after="0"/>
        <w:jc w:val="both"/>
        <w:rPr>
          <w:rFonts w:cstheme="minorHAnsi"/>
          <w:sz w:val="21"/>
          <w:szCs w:val="21"/>
        </w:rPr>
      </w:pPr>
    </w:p>
    <w:p w14:paraId="72ED527C" w14:textId="77777777" w:rsidR="009E4EF3" w:rsidRPr="009E4EF3" w:rsidRDefault="009E4EF3" w:rsidP="009E4EF3">
      <w:pPr>
        <w:pStyle w:val="ListParagraph"/>
        <w:tabs>
          <w:tab w:val="left" w:pos="4055"/>
        </w:tabs>
        <w:spacing w:after="0" w:line="240" w:lineRule="auto"/>
        <w:ind w:left="0"/>
        <w:jc w:val="both"/>
        <w:rPr>
          <w:rFonts w:cstheme="minorHAnsi"/>
          <w:sz w:val="21"/>
          <w:szCs w:val="21"/>
        </w:rPr>
      </w:pPr>
      <w:r w:rsidRPr="009E4EF3">
        <w:rPr>
          <w:rFonts w:cstheme="minorHAnsi"/>
          <w:sz w:val="21"/>
          <w:szCs w:val="21"/>
        </w:rPr>
        <w:t xml:space="preserve">The </w:t>
      </w:r>
      <w:r w:rsidRPr="009E4EF3">
        <w:rPr>
          <w:rFonts w:cstheme="minorHAnsi"/>
          <w:b/>
          <w:sz w:val="21"/>
          <w:szCs w:val="21"/>
        </w:rPr>
        <w:t>Youth Study Romania 2018/2019</w:t>
      </w:r>
      <w:r w:rsidRPr="009E4EF3">
        <w:rPr>
          <w:rFonts w:cstheme="minorHAnsi"/>
          <w:sz w:val="21"/>
          <w:szCs w:val="21"/>
        </w:rPr>
        <w:t xml:space="preserve"> is part of an international research based on representative samples of youth ages 14 to 29 with respondents from 10 countries from South East Europe.</w:t>
      </w:r>
      <w:r w:rsidRPr="009E4EF3">
        <w:rPr>
          <w:rStyle w:val="FootnoteReference"/>
          <w:rFonts w:cstheme="minorHAnsi"/>
          <w:sz w:val="21"/>
          <w:szCs w:val="21"/>
        </w:rPr>
        <w:footnoteReference w:id="28"/>
      </w:r>
      <w:r w:rsidRPr="009E4EF3">
        <w:rPr>
          <w:rFonts w:cstheme="minorHAnsi"/>
          <w:sz w:val="21"/>
          <w:szCs w:val="21"/>
        </w:rPr>
        <w:t xml:space="preserve"> </w:t>
      </w:r>
    </w:p>
    <w:p w14:paraId="158261E0" w14:textId="77777777" w:rsidR="009E4EF3" w:rsidRPr="009E4EF3" w:rsidRDefault="009E4EF3" w:rsidP="009E4EF3">
      <w:pPr>
        <w:tabs>
          <w:tab w:val="left" w:pos="4055"/>
        </w:tabs>
        <w:spacing w:before="0" w:after="0"/>
        <w:jc w:val="both"/>
        <w:rPr>
          <w:rFonts w:cstheme="minorHAnsi"/>
          <w:color w:val="auto"/>
          <w:sz w:val="21"/>
          <w:szCs w:val="21"/>
        </w:rPr>
      </w:pPr>
    </w:p>
    <w:p w14:paraId="45F1878C" w14:textId="77777777" w:rsidR="009E4EF3" w:rsidRPr="009E4EF3" w:rsidRDefault="009E4EF3" w:rsidP="009E4EF3">
      <w:pPr>
        <w:tabs>
          <w:tab w:val="left" w:pos="4055"/>
        </w:tabs>
        <w:spacing w:before="0" w:after="0"/>
        <w:jc w:val="both"/>
        <w:rPr>
          <w:rFonts w:cstheme="minorHAnsi"/>
          <w:color w:val="auto"/>
          <w:sz w:val="21"/>
          <w:szCs w:val="21"/>
        </w:rPr>
      </w:pPr>
      <w:r w:rsidRPr="009E4EF3">
        <w:rPr>
          <w:rFonts w:cstheme="minorHAnsi"/>
          <w:color w:val="auto"/>
          <w:sz w:val="21"/>
          <w:szCs w:val="21"/>
        </w:rPr>
        <w:t>Highlights on education on the Romanian youth sample:</w:t>
      </w:r>
    </w:p>
    <w:p w14:paraId="5DE9D009" w14:textId="77777777" w:rsidR="009E4EF3" w:rsidRPr="009E4EF3" w:rsidRDefault="009E4EF3" w:rsidP="009E4EF3">
      <w:pPr>
        <w:pStyle w:val="ListParagraph"/>
        <w:numPr>
          <w:ilvl w:val="0"/>
          <w:numId w:val="4"/>
        </w:numPr>
        <w:tabs>
          <w:tab w:val="left" w:pos="4055"/>
        </w:tabs>
        <w:spacing w:after="0" w:line="240" w:lineRule="auto"/>
        <w:jc w:val="both"/>
        <w:rPr>
          <w:rFonts w:cstheme="minorHAnsi"/>
          <w:sz w:val="21"/>
          <w:szCs w:val="21"/>
        </w:rPr>
      </w:pPr>
      <w:r w:rsidRPr="009E4EF3">
        <w:rPr>
          <w:rFonts w:cstheme="minorHAnsi"/>
          <w:sz w:val="21"/>
          <w:szCs w:val="21"/>
        </w:rPr>
        <w:t>Most respondents (57.5%) aspire to higher education levels (BA, MA or PhD);</w:t>
      </w:r>
    </w:p>
    <w:p w14:paraId="6DDEE2BA" w14:textId="77777777" w:rsidR="009E4EF3" w:rsidRPr="007F053F" w:rsidRDefault="009E4EF3" w:rsidP="009E4EF3">
      <w:pPr>
        <w:pStyle w:val="ListParagraph"/>
        <w:numPr>
          <w:ilvl w:val="0"/>
          <w:numId w:val="4"/>
        </w:numPr>
        <w:tabs>
          <w:tab w:val="left" w:pos="4055"/>
        </w:tabs>
        <w:spacing w:after="0" w:line="240" w:lineRule="auto"/>
        <w:jc w:val="both"/>
        <w:rPr>
          <w:rFonts w:cstheme="minorHAnsi"/>
          <w:sz w:val="21"/>
          <w:szCs w:val="21"/>
        </w:rPr>
      </w:pPr>
      <w:r w:rsidRPr="007F053F">
        <w:rPr>
          <w:rFonts w:cstheme="minorHAnsi"/>
          <w:sz w:val="21"/>
          <w:szCs w:val="21"/>
        </w:rPr>
        <w:t>Young peoples’ educational aspirations are influenced by parents’ educational capital (youth with parents with tertiary education aspire themselves for a higher education degree) and gender (young women more likely to seek higher education degrees);</w:t>
      </w:r>
    </w:p>
    <w:p w14:paraId="1AACE445" w14:textId="77777777" w:rsidR="009E4EF3" w:rsidRPr="007F053F" w:rsidRDefault="009E4EF3" w:rsidP="009E4EF3">
      <w:pPr>
        <w:pStyle w:val="ListParagraph"/>
        <w:numPr>
          <w:ilvl w:val="0"/>
          <w:numId w:val="4"/>
        </w:numPr>
        <w:tabs>
          <w:tab w:val="left" w:pos="4055"/>
        </w:tabs>
        <w:spacing w:after="0" w:line="240" w:lineRule="auto"/>
        <w:jc w:val="both"/>
        <w:rPr>
          <w:rFonts w:cstheme="minorHAnsi"/>
          <w:sz w:val="21"/>
          <w:szCs w:val="21"/>
        </w:rPr>
      </w:pPr>
      <w:r w:rsidRPr="007F053F">
        <w:rPr>
          <w:rFonts w:cstheme="minorHAnsi"/>
          <w:sz w:val="21"/>
          <w:szCs w:val="21"/>
        </w:rPr>
        <w:lastRenderedPageBreak/>
        <w:t>Family’s educational and financial resources matter for students’ school/academic performance: “a large percentage of youth from families in which both parents have degrees higher than high school report having average scores of 9 to 10. Moreover, a greater percentage of students who assess the financial status of their household in negative terms report that their annual results are in the lowest score interval (5 – 6).”</w:t>
      </w:r>
      <w:r w:rsidRPr="007F053F">
        <w:rPr>
          <w:rStyle w:val="FootnoteReference"/>
          <w:rFonts w:cstheme="minorHAnsi"/>
          <w:sz w:val="21"/>
          <w:szCs w:val="21"/>
        </w:rPr>
        <w:footnoteReference w:id="29"/>
      </w:r>
      <w:r w:rsidRPr="007F053F">
        <w:rPr>
          <w:rFonts w:cstheme="minorHAnsi"/>
          <w:sz w:val="21"/>
          <w:szCs w:val="21"/>
        </w:rPr>
        <w:t xml:space="preserve"> </w:t>
      </w:r>
    </w:p>
    <w:p w14:paraId="75BDF7B7" w14:textId="77777777" w:rsidR="009E4EF3" w:rsidRPr="007F053F" w:rsidRDefault="009E4EF3" w:rsidP="009E4EF3">
      <w:pPr>
        <w:pStyle w:val="ListParagraph"/>
        <w:numPr>
          <w:ilvl w:val="0"/>
          <w:numId w:val="4"/>
        </w:numPr>
        <w:tabs>
          <w:tab w:val="left" w:pos="4055"/>
        </w:tabs>
        <w:spacing w:after="0" w:line="240" w:lineRule="auto"/>
        <w:jc w:val="both"/>
        <w:rPr>
          <w:rFonts w:cstheme="minorHAnsi"/>
          <w:sz w:val="21"/>
          <w:szCs w:val="21"/>
        </w:rPr>
      </w:pPr>
      <w:r w:rsidRPr="007F053F">
        <w:rPr>
          <w:rFonts w:cstheme="minorHAnsi"/>
          <w:sz w:val="21"/>
          <w:szCs w:val="21"/>
        </w:rPr>
        <w:t>33% of Romanian respondents evaluate the educational system as being adapted to the requirements of the labor market;</w:t>
      </w:r>
    </w:p>
    <w:p w14:paraId="13D520B8" w14:textId="77777777" w:rsidR="009E4EF3" w:rsidRPr="007F053F" w:rsidRDefault="009E4EF3" w:rsidP="009E4EF3">
      <w:pPr>
        <w:pStyle w:val="ListParagraph"/>
        <w:numPr>
          <w:ilvl w:val="0"/>
          <w:numId w:val="4"/>
        </w:numPr>
        <w:tabs>
          <w:tab w:val="left" w:pos="4055"/>
        </w:tabs>
        <w:spacing w:after="0" w:line="240" w:lineRule="auto"/>
        <w:jc w:val="both"/>
        <w:rPr>
          <w:rFonts w:cstheme="minorHAnsi"/>
          <w:sz w:val="21"/>
          <w:szCs w:val="21"/>
        </w:rPr>
      </w:pPr>
      <w:r w:rsidRPr="007F053F">
        <w:rPr>
          <w:rFonts w:cstheme="minorHAnsi"/>
          <w:sz w:val="21"/>
          <w:szCs w:val="21"/>
        </w:rPr>
        <w:t>24% of Romanian respondents who are still active in the educational system are confident that they will find a job after graduation (the highest percentage among the 10 participating countries).</w:t>
      </w:r>
    </w:p>
    <w:p w14:paraId="7254E26C" w14:textId="77777777" w:rsidR="009E4EF3" w:rsidRPr="007F053F" w:rsidRDefault="009E4EF3" w:rsidP="009E4EF3">
      <w:pPr>
        <w:tabs>
          <w:tab w:val="left" w:pos="4055"/>
        </w:tabs>
        <w:spacing w:before="0" w:after="0"/>
        <w:jc w:val="both"/>
        <w:rPr>
          <w:rFonts w:cstheme="minorHAnsi"/>
          <w:sz w:val="21"/>
          <w:szCs w:val="21"/>
        </w:rPr>
      </w:pPr>
    </w:p>
    <w:p w14:paraId="3D7F3030" w14:textId="77777777" w:rsidR="009E4EF3" w:rsidRPr="007F053F" w:rsidRDefault="009E4EF3" w:rsidP="009E4EF3">
      <w:pPr>
        <w:tabs>
          <w:tab w:val="left" w:pos="4055"/>
        </w:tabs>
        <w:spacing w:before="0" w:after="0"/>
        <w:jc w:val="both"/>
        <w:rPr>
          <w:rFonts w:cstheme="minorHAnsi"/>
          <w:sz w:val="21"/>
          <w:szCs w:val="21"/>
        </w:rPr>
      </w:pPr>
    </w:p>
    <w:p w14:paraId="53686B17" w14:textId="77777777" w:rsidR="009E4EF3" w:rsidRDefault="009E4EF3" w:rsidP="009E4EF3">
      <w:pPr>
        <w:pStyle w:val="ListParagraph"/>
        <w:tabs>
          <w:tab w:val="left" w:pos="4055"/>
        </w:tabs>
        <w:spacing w:after="0" w:line="240" w:lineRule="auto"/>
        <w:ind w:left="0"/>
        <w:jc w:val="both"/>
        <w:rPr>
          <w:rFonts w:cstheme="minorHAnsi"/>
          <w:sz w:val="21"/>
          <w:szCs w:val="21"/>
        </w:rPr>
      </w:pPr>
      <w:r w:rsidRPr="007F053F">
        <w:rPr>
          <w:rFonts w:cstheme="minorHAnsi"/>
          <w:sz w:val="21"/>
          <w:szCs w:val="21"/>
        </w:rPr>
        <w:t xml:space="preserve">A study that examines the </w:t>
      </w:r>
      <w:r w:rsidRPr="000B625B">
        <w:rPr>
          <w:rFonts w:cstheme="minorHAnsi"/>
          <w:b/>
          <w:sz w:val="21"/>
          <w:szCs w:val="21"/>
        </w:rPr>
        <w:t>particularities and the impact of the current school financing system in Romania</w:t>
      </w:r>
      <w:r w:rsidRPr="007F053F">
        <w:rPr>
          <w:rFonts w:cstheme="minorHAnsi"/>
          <w:i/>
          <w:sz w:val="21"/>
          <w:szCs w:val="21"/>
        </w:rPr>
        <w:t xml:space="preserve"> </w:t>
      </w:r>
      <w:r w:rsidRPr="007F053F">
        <w:rPr>
          <w:rFonts w:cstheme="minorHAnsi"/>
          <w:sz w:val="21"/>
          <w:szCs w:val="21"/>
        </w:rPr>
        <w:t>reveals the vulnerabilities of schools from socio-economically disadvantaged communities.</w:t>
      </w:r>
      <w:r w:rsidRPr="007F053F">
        <w:rPr>
          <w:rStyle w:val="FootnoteReference"/>
          <w:rFonts w:cstheme="minorHAnsi"/>
          <w:sz w:val="21"/>
          <w:szCs w:val="21"/>
        </w:rPr>
        <w:footnoteReference w:id="30"/>
      </w:r>
      <w:r w:rsidRPr="007F053F">
        <w:rPr>
          <w:rFonts w:cstheme="minorHAnsi"/>
          <w:sz w:val="21"/>
          <w:szCs w:val="21"/>
        </w:rPr>
        <w:t xml:space="preserve"> </w:t>
      </w:r>
    </w:p>
    <w:p w14:paraId="67E14066" w14:textId="77777777" w:rsidR="004024A2" w:rsidRPr="007F053F" w:rsidRDefault="004024A2" w:rsidP="009E4EF3">
      <w:pPr>
        <w:pStyle w:val="ListParagraph"/>
        <w:tabs>
          <w:tab w:val="left" w:pos="4055"/>
        </w:tabs>
        <w:spacing w:after="0" w:line="240" w:lineRule="auto"/>
        <w:ind w:left="0"/>
        <w:jc w:val="both"/>
        <w:rPr>
          <w:rFonts w:cstheme="minorHAnsi"/>
          <w:sz w:val="21"/>
          <w:szCs w:val="21"/>
        </w:rPr>
      </w:pPr>
    </w:p>
    <w:p w14:paraId="47706A3D" w14:textId="77777777" w:rsidR="009E4EF3" w:rsidRPr="007F053F" w:rsidRDefault="009E4EF3" w:rsidP="009E4EF3">
      <w:pPr>
        <w:pStyle w:val="ListParagraph"/>
        <w:numPr>
          <w:ilvl w:val="0"/>
          <w:numId w:val="4"/>
        </w:numPr>
        <w:tabs>
          <w:tab w:val="left" w:pos="4055"/>
        </w:tabs>
        <w:spacing w:after="0" w:line="240" w:lineRule="auto"/>
        <w:jc w:val="both"/>
        <w:rPr>
          <w:rFonts w:cstheme="minorHAnsi"/>
          <w:sz w:val="21"/>
          <w:szCs w:val="21"/>
        </w:rPr>
      </w:pPr>
      <w:r w:rsidRPr="007F053F">
        <w:rPr>
          <w:rFonts w:cstheme="minorHAnsi"/>
          <w:sz w:val="21"/>
          <w:szCs w:val="21"/>
        </w:rPr>
        <w:t xml:space="preserve">There are many imbalances in the current financing system of schools in Romania, and the most alarming situations are those found in schools from socio-economically disadvantaged areas. </w:t>
      </w:r>
    </w:p>
    <w:p w14:paraId="3EA87031" w14:textId="77777777" w:rsidR="009E4EF3" w:rsidRPr="007F053F" w:rsidRDefault="009E4EF3" w:rsidP="009E4EF3">
      <w:pPr>
        <w:pStyle w:val="ListParagraph"/>
        <w:numPr>
          <w:ilvl w:val="0"/>
          <w:numId w:val="4"/>
        </w:numPr>
        <w:tabs>
          <w:tab w:val="left" w:pos="4055"/>
        </w:tabs>
        <w:spacing w:after="0" w:line="240" w:lineRule="auto"/>
        <w:jc w:val="both"/>
        <w:rPr>
          <w:rFonts w:cstheme="minorHAnsi"/>
          <w:sz w:val="21"/>
          <w:szCs w:val="21"/>
        </w:rPr>
      </w:pPr>
      <w:r w:rsidRPr="007F053F">
        <w:rPr>
          <w:rFonts w:cstheme="minorHAnsi"/>
          <w:sz w:val="21"/>
          <w:szCs w:val="21"/>
        </w:rPr>
        <w:t>As expected, schools from the rural areas are exceptionally vulnerable: “schools from the rural areas are disadvantaged by the current funding mechanism, because the standard costs per students for goods and services (which could cover remedial education programs or extra-curricular activities for students with high drop-out risk) are lower than those allocated to urban schools.”</w:t>
      </w:r>
      <w:r w:rsidRPr="007F053F">
        <w:rPr>
          <w:rStyle w:val="FootnoteReference"/>
          <w:rFonts w:cstheme="minorHAnsi"/>
          <w:sz w:val="21"/>
          <w:szCs w:val="21"/>
        </w:rPr>
        <w:footnoteReference w:id="31"/>
      </w:r>
      <w:r w:rsidRPr="007F053F">
        <w:rPr>
          <w:rFonts w:cstheme="minorHAnsi"/>
          <w:sz w:val="21"/>
          <w:szCs w:val="21"/>
        </w:rPr>
        <w:t xml:space="preserve"> </w:t>
      </w:r>
    </w:p>
    <w:p w14:paraId="5EE4CCF5" w14:textId="77777777" w:rsidR="009E4EF3" w:rsidRPr="007F053F" w:rsidRDefault="009E4EF3" w:rsidP="009E4EF3">
      <w:pPr>
        <w:pStyle w:val="ListParagraph"/>
        <w:numPr>
          <w:ilvl w:val="0"/>
          <w:numId w:val="4"/>
        </w:numPr>
        <w:tabs>
          <w:tab w:val="left" w:pos="4055"/>
        </w:tabs>
        <w:spacing w:after="0" w:line="240" w:lineRule="auto"/>
        <w:jc w:val="both"/>
        <w:rPr>
          <w:rFonts w:cstheme="minorHAnsi"/>
          <w:sz w:val="21"/>
          <w:szCs w:val="21"/>
        </w:rPr>
      </w:pPr>
      <w:r w:rsidRPr="007F053F">
        <w:rPr>
          <w:rFonts w:cstheme="minorHAnsi"/>
          <w:sz w:val="21"/>
          <w:szCs w:val="21"/>
        </w:rPr>
        <w:t>Specific issues faced by these under-financed schools from vulnerable communities include: drop-out and absenteeism, student’s school results, teachers’ professional development.</w:t>
      </w:r>
    </w:p>
    <w:p w14:paraId="0A97C5F3" w14:textId="77777777" w:rsidR="009E4EF3" w:rsidRDefault="009E4EF3" w:rsidP="009E4EF3">
      <w:pPr>
        <w:pStyle w:val="ListParagraph"/>
        <w:numPr>
          <w:ilvl w:val="0"/>
          <w:numId w:val="4"/>
        </w:numPr>
        <w:tabs>
          <w:tab w:val="left" w:pos="4055"/>
        </w:tabs>
        <w:spacing w:after="0" w:line="240" w:lineRule="auto"/>
        <w:jc w:val="both"/>
        <w:rPr>
          <w:rFonts w:cstheme="minorHAnsi"/>
          <w:sz w:val="21"/>
          <w:szCs w:val="21"/>
        </w:rPr>
      </w:pPr>
      <w:r w:rsidRPr="007F053F">
        <w:rPr>
          <w:rFonts w:cstheme="minorHAnsi"/>
          <w:sz w:val="21"/>
          <w:szCs w:val="21"/>
        </w:rPr>
        <w:t>A particularly difficult situation is that of schools that lost their autonomy due to the drastic decrease in the number of students; as they are no longer independent school units, they receive their funds from the budget allocated to the schools that incorporated them as sub-units.</w:t>
      </w:r>
    </w:p>
    <w:p w14:paraId="7B91A0D0" w14:textId="77777777" w:rsidR="009E4EF3" w:rsidRPr="007F053F" w:rsidRDefault="009E4EF3" w:rsidP="009E4EF3">
      <w:pPr>
        <w:pStyle w:val="ListParagraph"/>
        <w:tabs>
          <w:tab w:val="left" w:pos="4055"/>
        </w:tabs>
        <w:spacing w:after="0" w:line="240" w:lineRule="auto"/>
        <w:ind w:left="502"/>
        <w:jc w:val="both"/>
        <w:rPr>
          <w:rFonts w:cstheme="minorHAnsi"/>
          <w:sz w:val="21"/>
          <w:szCs w:val="21"/>
        </w:rPr>
      </w:pPr>
    </w:p>
    <w:p w14:paraId="1CD34BD8" w14:textId="77777777" w:rsidR="009E4EF3" w:rsidRPr="009E4EF3" w:rsidRDefault="009E4EF3" w:rsidP="009E4EF3">
      <w:pPr>
        <w:pStyle w:val="LEAP-Heading4"/>
        <w:spacing w:before="0" w:after="0"/>
        <w:rPr>
          <w:rFonts w:cstheme="minorHAnsi"/>
        </w:rPr>
      </w:pPr>
    </w:p>
    <w:p w14:paraId="71114FBE" w14:textId="77777777" w:rsidR="009E4EF3" w:rsidRDefault="009E4EF3" w:rsidP="009E4EF3">
      <w:pPr>
        <w:pStyle w:val="LEAP-Heading4"/>
        <w:spacing w:before="0" w:after="0"/>
        <w:rPr>
          <w:rFonts w:cstheme="minorHAnsi"/>
        </w:rPr>
      </w:pPr>
      <w:r w:rsidRPr="009E4EF3">
        <w:rPr>
          <w:rFonts w:cstheme="minorHAnsi"/>
        </w:rPr>
        <w:t>Studies issued by non-governmental organizations with activities in the realm of education</w:t>
      </w:r>
    </w:p>
    <w:p w14:paraId="402D27A8" w14:textId="77777777" w:rsidR="009E4EF3" w:rsidRPr="009E4EF3" w:rsidRDefault="009E4EF3" w:rsidP="009E4EF3">
      <w:pPr>
        <w:spacing w:before="0" w:after="0"/>
      </w:pPr>
    </w:p>
    <w:p w14:paraId="1F5726C9" w14:textId="77777777" w:rsidR="009E4EF3" w:rsidRPr="009E4EF3" w:rsidRDefault="009E4EF3" w:rsidP="009E4EF3">
      <w:pPr>
        <w:pStyle w:val="ListParagraph"/>
        <w:tabs>
          <w:tab w:val="left" w:pos="4055"/>
        </w:tabs>
        <w:spacing w:after="0" w:line="240" w:lineRule="auto"/>
        <w:ind w:left="0"/>
        <w:jc w:val="both"/>
        <w:rPr>
          <w:rFonts w:cstheme="minorHAnsi"/>
          <w:sz w:val="21"/>
          <w:szCs w:val="21"/>
        </w:rPr>
      </w:pPr>
      <w:r w:rsidRPr="009E4EF3">
        <w:rPr>
          <w:rFonts w:cstheme="minorHAnsi"/>
          <w:sz w:val="21"/>
          <w:szCs w:val="21"/>
        </w:rPr>
        <w:t xml:space="preserve">A study commissioned by </w:t>
      </w:r>
      <w:r w:rsidRPr="000B625B">
        <w:rPr>
          <w:rFonts w:cstheme="minorHAnsi"/>
          <w:b/>
          <w:sz w:val="21"/>
          <w:szCs w:val="21"/>
        </w:rPr>
        <w:t>World Vision Romania</w:t>
      </w:r>
      <w:r w:rsidRPr="009E4EF3">
        <w:rPr>
          <w:rFonts w:cstheme="minorHAnsi"/>
          <w:sz w:val="21"/>
          <w:szCs w:val="21"/>
        </w:rPr>
        <w:t xml:space="preserve">, with data collected in 2014 from parents and students (primary and lower secondary levels) from 6 counties (Cluj, </w:t>
      </w:r>
      <w:proofErr w:type="spellStart"/>
      <w:r w:rsidRPr="009E4EF3">
        <w:rPr>
          <w:rFonts w:cstheme="minorHAnsi"/>
          <w:sz w:val="21"/>
          <w:szCs w:val="21"/>
        </w:rPr>
        <w:t>Dolj</w:t>
      </w:r>
      <w:proofErr w:type="spellEnd"/>
      <w:r w:rsidRPr="009E4EF3">
        <w:rPr>
          <w:rFonts w:cstheme="minorHAnsi"/>
          <w:sz w:val="21"/>
          <w:szCs w:val="21"/>
        </w:rPr>
        <w:t xml:space="preserve">, </w:t>
      </w:r>
      <w:proofErr w:type="spellStart"/>
      <w:r w:rsidRPr="009E4EF3">
        <w:rPr>
          <w:rFonts w:cstheme="minorHAnsi"/>
          <w:sz w:val="21"/>
          <w:szCs w:val="21"/>
        </w:rPr>
        <w:t>Ialomita</w:t>
      </w:r>
      <w:proofErr w:type="spellEnd"/>
      <w:r w:rsidRPr="009E4EF3">
        <w:rPr>
          <w:rFonts w:cstheme="minorHAnsi"/>
          <w:sz w:val="21"/>
          <w:szCs w:val="21"/>
        </w:rPr>
        <w:t xml:space="preserve">, </w:t>
      </w:r>
      <w:proofErr w:type="spellStart"/>
      <w:r w:rsidRPr="009E4EF3">
        <w:rPr>
          <w:rFonts w:cstheme="minorHAnsi"/>
          <w:sz w:val="21"/>
          <w:szCs w:val="21"/>
        </w:rPr>
        <w:t>Valcea</w:t>
      </w:r>
      <w:proofErr w:type="spellEnd"/>
      <w:r w:rsidRPr="009E4EF3">
        <w:rPr>
          <w:rFonts w:cstheme="minorHAnsi"/>
          <w:sz w:val="21"/>
          <w:szCs w:val="21"/>
        </w:rPr>
        <w:t xml:space="preserve">, </w:t>
      </w:r>
      <w:proofErr w:type="spellStart"/>
      <w:r w:rsidRPr="009E4EF3">
        <w:rPr>
          <w:rFonts w:cstheme="minorHAnsi"/>
          <w:sz w:val="21"/>
          <w:szCs w:val="21"/>
        </w:rPr>
        <w:t>Vaslui</w:t>
      </w:r>
      <w:proofErr w:type="spellEnd"/>
      <w:r w:rsidRPr="009E4EF3">
        <w:rPr>
          <w:rFonts w:cstheme="minorHAnsi"/>
          <w:sz w:val="21"/>
          <w:szCs w:val="21"/>
        </w:rPr>
        <w:t xml:space="preserve">, Suceava) focuses on </w:t>
      </w:r>
      <w:r w:rsidRPr="009E4EF3">
        <w:rPr>
          <w:rFonts w:cstheme="minorHAnsi"/>
          <w:i/>
          <w:sz w:val="21"/>
          <w:szCs w:val="21"/>
        </w:rPr>
        <w:t>specific issues faced by children from rural schools</w:t>
      </w:r>
      <w:r w:rsidRPr="009E4EF3">
        <w:rPr>
          <w:rFonts w:cstheme="minorHAnsi"/>
          <w:sz w:val="21"/>
          <w:szCs w:val="21"/>
        </w:rPr>
        <w:t>.</w:t>
      </w:r>
      <w:r w:rsidRPr="009E4EF3">
        <w:rPr>
          <w:rStyle w:val="FootnoteReference"/>
          <w:rFonts w:cstheme="minorHAnsi"/>
          <w:sz w:val="21"/>
          <w:szCs w:val="21"/>
        </w:rPr>
        <w:footnoteReference w:id="32"/>
      </w:r>
      <w:r w:rsidRPr="009E4EF3">
        <w:rPr>
          <w:rFonts w:cstheme="minorHAnsi"/>
          <w:sz w:val="21"/>
          <w:szCs w:val="21"/>
        </w:rPr>
        <w:t xml:space="preserve"> </w:t>
      </w:r>
    </w:p>
    <w:p w14:paraId="6D779CD2" w14:textId="77777777" w:rsidR="009E4EF3" w:rsidRPr="009E4EF3" w:rsidRDefault="009E4EF3" w:rsidP="009E4EF3">
      <w:pPr>
        <w:tabs>
          <w:tab w:val="left" w:pos="4055"/>
        </w:tabs>
        <w:spacing w:before="0" w:after="0"/>
        <w:ind w:left="-142"/>
        <w:jc w:val="both"/>
        <w:rPr>
          <w:rFonts w:cstheme="minorHAnsi"/>
          <w:color w:val="auto"/>
          <w:sz w:val="21"/>
          <w:szCs w:val="21"/>
        </w:rPr>
      </w:pPr>
    </w:p>
    <w:p w14:paraId="20C82026" w14:textId="77777777" w:rsidR="009E4EF3" w:rsidRDefault="009E4EF3" w:rsidP="009E4EF3">
      <w:pPr>
        <w:tabs>
          <w:tab w:val="left" w:pos="4055"/>
        </w:tabs>
        <w:spacing w:before="0" w:after="0"/>
        <w:ind w:left="142"/>
        <w:jc w:val="both"/>
        <w:rPr>
          <w:rFonts w:cstheme="minorHAnsi"/>
          <w:color w:val="auto"/>
          <w:sz w:val="21"/>
          <w:szCs w:val="21"/>
        </w:rPr>
      </w:pPr>
      <w:r w:rsidRPr="009E4EF3">
        <w:rPr>
          <w:rFonts w:cstheme="minorHAnsi"/>
          <w:color w:val="auto"/>
          <w:sz w:val="21"/>
          <w:szCs w:val="21"/>
        </w:rPr>
        <w:t xml:space="preserve">Selected Cluj county level highlights: </w:t>
      </w:r>
    </w:p>
    <w:p w14:paraId="38860F06" w14:textId="77777777" w:rsidR="004024A2" w:rsidRPr="009E4EF3" w:rsidRDefault="004024A2" w:rsidP="009E4EF3">
      <w:pPr>
        <w:tabs>
          <w:tab w:val="left" w:pos="4055"/>
        </w:tabs>
        <w:spacing w:before="0" w:after="0"/>
        <w:ind w:left="142"/>
        <w:jc w:val="both"/>
        <w:rPr>
          <w:rFonts w:cstheme="minorHAnsi"/>
          <w:color w:val="auto"/>
          <w:sz w:val="21"/>
          <w:szCs w:val="21"/>
        </w:rPr>
      </w:pPr>
    </w:p>
    <w:p w14:paraId="09FB1C05" w14:textId="77777777" w:rsidR="009E4EF3" w:rsidRPr="009E4EF3" w:rsidRDefault="009E4EF3" w:rsidP="009E4EF3">
      <w:pPr>
        <w:pStyle w:val="ListParagraph"/>
        <w:numPr>
          <w:ilvl w:val="0"/>
          <w:numId w:val="4"/>
        </w:numPr>
        <w:tabs>
          <w:tab w:val="left" w:pos="4055"/>
        </w:tabs>
        <w:spacing w:after="0" w:line="240" w:lineRule="auto"/>
        <w:ind w:left="644"/>
        <w:jc w:val="both"/>
        <w:rPr>
          <w:rFonts w:cstheme="minorHAnsi"/>
          <w:sz w:val="21"/>
          <w:szCs w:val="21"/>
        </w:rPr>
      </w:pPr>
      <w:r w:rsidRPr="009E4EF3">
        <w:rPr>
          <w:rFonts w:cstheme="minorHAnsi"/>
          <w:sz w:val="21"/>
          <w:szCs w:val="21"/>
        </w:rPr>
        <w:t>Low usage of existing informatics labs within schools</w:t>
      </w:r>
    </w:p>
    <w:p w14:paraId="016EA032" w14:textId="77777777" w:rsidR="009E4EF3" w:rsidRPr="009E4EF3" w:rsidRDefault="009E4EF3" w:rsidP="009E4EF3">
      <w:pPr>
        <w:pStyle w:val="ListParagraph"/>
        <w:numPr>
          <w:ilvl w:val="0"/>
          <w:numId w:val="4"/>
        </w:numPr>
        <w:tabs>
          <w:tab w:val="left" w:pos="4055"/>
        </w:tabs>
        <w:spacing w:after="0" w:line="240" w:lineRule="auto"/>
        <w:ind w:left="644"/>
        <w:jc w:val="both"/>
        <w:rPr>
          <w:rFonts w:cstheme="minorHAnsi"/>
          <w:sz w:val="21"/>
          <w:szCs w:val="21"/>
        </w:rPr>
      </w:pPr>
      <w:r w:rsidRPr="009E4EF3">
        <w:rPr>
          <w:rFonts w:cstheme="minorHAnsi"/>
          <w:sz w:val="21"/>
          <w:szCs w:val="21"/>
        </w:rPr>
        <w:t xml:space="preserve">Students from Cluj county reported, comparatively, the most favorable context regarding teachers’ openness towards explaining criteria of evaluations </w:t>
      </w:r>
    </w:p>
    <w:p w14:paraId="0C04505F" w14:textId="77777777" w:rsidR="009E4EF3" w:rsidRPr="009E4EF3" w:rsidRDefault="009E4EF3" w:rsidP="009E4EF3">
      <w:pPr>
        <w:pStyle w:val="ListParagraph"/>
        <w:numPr>
          <w:ilvl w:val="0"/>
          <w:numId w:val="4"/>
        </w:numPr>
        <w:tabs>
          <w:tab w:val="left" w:pos="4055"/>
        </w:tabs>
        <w:spacing w:after="0" w:line="240" w:lineRule="auto"/>
        <w:ind w:left="644"/>
        <w:jc w:val="both"/>
        <w:rPr>
          <w:rFonts w:cstheme="minorHAnsi"/>
          <w:sz w:val="21"/>
          <w:szCs w:val="21"/>
        </w:rPr>
      </w:pPr>
      <w:r w:rsidRPr="009E4EF3">
        <w:rPr>
          <w:rFonts w:cstheme="minorHAnsi"/>
          <w:sz w:val="21"/>
          <w:szCs w:val="21"/>
        </w:rPr>
        <w:t>Students have been asked about the reasons why they skipped school without a clear justification (“</w:t>
      </w:r>
      <w:proofErr w:type="spellStart"/>
      <w:r w:rsidRPr="009E4EF3">
        <w:rPr>
          <w:rFonts w:cstheme="minorHAnsi"/>
          <w:sz w:val="21"/>
          <w:szCs w:val="21"/>
        </w:rPr>
        <w:t>absente</w:t>
      </w:r>
      <w:proofErr w:type="spellEnd"/>
      <w:r w:rsidRPr="009E4EF3">
        <w:rPr>
          <w:rFonts w:cstheme="minorHAnsi"/>
          <w:sz w:val="21"/>
          <w:szCs w:val="21"/>
        </w:rPr>
        <w:t xml:space="preserve"> </w:t>
      </w:r>
      <w:proofErr w:type="spellStart"/>
      <w:r w:rsidRPr="009E4EF3">
        <w:rPr>
          <w:rFonts w:cstheme="minorHAnsi"/>
          <w:sz w:val="21"/>
          <w:szCs w:val="21"/>
        </w:rPr>
        <w:t>nemotivate</w:t>
      </w:r>
      <w:proofErr w:type="spellEnd"/>
      <w:r w:rsidRPr="009E4EF3">
        <w:rPr>
          <w:rFonts w:cstheme="minorHAnsi"/>
          <w:sz w:val="21"/>
          <w:szCs w:val="21"/>
        </w:rPr>
        <w:t>”). For the Cluj county sub-sample, the answers point to the following preeminent reasons: ‘personal problems’ (16,8%); ‘I don’t like the class’ (10,1%); ‘activities in the household’ (8,1%), ‘I don’t understand the content of what is being taught’ (4%); ‘the teacher is severe’ (4%).</w:t>
      </w:r>
    </w:p>
    <w:p w14:paraId="1C8BF474" w14:textId="77777777" w:rsidR="009E4EF3" w:rsidRPr="009E4EF3" w:rsidRDefault="009E4EF3" w:rsidP="009E4EF3">
      <w:pPr>
        <w:pStyle w:val="ListParagraph"/>
        <w:tabs>
          <w:tab w:val="left" w:pos="4055"/>
        </w:tabs>
        <w:spacing w:after="0" w:line="240" w:lineRule="auto"/>
        <w:ind w:left="405"/>
        <w:jc w:val="both"/>
        <w:rPr>
          <w:rFonts w:cstheme="minorHAnsi"/>
          <w:sz w:val="21"/>
          <w:szCs w:val="21"/>
        </w:rPr>
      </w:pPr>
    </w:p>
    <w:p w14:paraId="402DBE00" w14:textId="77777777" w:rsidR="009E4EF3" w:rsidRPr="009E4EF3" w:rsidRDefault="009E4EF3" w:rsidP="009E4EF3">
      <w:pPr>
        <w:pStyle w:val="ListParagraph"/>
        <w:tabs>
          <w:tab w:val="left" w:pos="4055"/>
        </w:tabs>
        <w:spacing w:after="0" w:line="240" w:lineRule="auto"/>
        <w:ind w:left="142"/>
        <w:jc w:val="both"/>
        <w:rPr>
          <w:rFonts w:cstheme="minorHAnsi"/>
          <w:sz w:val="21"/>
          <w:szCs w:val="21"/>
        </w:rPr>
      </w:pPr>
      <w:r w:rsidRPr="009E4EF3">
        <w:rPr>
          <w:rFonts w:cstheme="minorHAnsi"/>
          <w:sz w:val="21"/>
          <w:szCs w:val="21"/>
        </w:rPr>
        <w:lastRenderedPageBreak/>
        <w:t xml:space="preserve">A further </w:t>
      </w:r>
      <w:r w:rsidRPr="000B625B">
        <w:rPr>
          <w:rFonts w:cstheme="minorHAnsi"/>
          <w:b/>
          <w:sz w:val="21"/>
          <w:szCs w:val="21"/>
        </w:rPr>
        <w:t>study focused on rural areas, under the coordination of World Vision Romania</w:t>
      </w:r>
      <w:r w:rsidRPr="009E4EF3">
        <w:rPr>
          <w:rFonts w:cstheme="minorHAnsi"/>
          <w:sz w:val="21"/>
          <w:szCs w:val="21"/>
        </w:rPr>
        <w:t xml:space="preserve"> captures the perspectives of children and parents from rural households in six counties (Cluj, </w:t>
      </w:r>
      <w:proofErr w:type="spellStart"/>
      <w:r w:rsidRPr="009E4EF3">
        <w:rPr>
          <w:rFonts w:cstheme="minorHAnsi"/>
          <w:sz w:val="21"/>
          <w:szCs w:val="21"/>
        </w:rPr>
        <w:t>Dolj</w:t>
      </w:r>
      <w:proofErr w:type="spellEnd"/>
      <w:r w:rsidRPr="009E4EF3">
        <w:rPr>
          <w:rFonts w:cstheme="minorHAnsi"/>
          <w:sz w:val="21"/>
          <w:szCs w:val="21"/>
        </w:rPr>
        <w:t xml:space="preserve">, </w:t>
      </w:r>
      <w:proofErr w:type="spellStart"/>
      <w:r w:rsidRPr="009E4EF3">
        <w:rPr>
          <w:rFonts w:cstheme="minorHAnsi"/>
          <w:sz w:val="21"/>
          <w:szCs w:val="21"/>
        </w:rPr>
        <w:t>Ialomita</w:t>
      </w:r>
      <w:proofErr w:type="spellEnd"/>
      <w:r w:rsidRPr="009E4EF3">
        <w:rPr>
          <w:rFonts w:cstheme="minorHAnsi"/>
          <w:sz w:val="21"/>
          <w:szCs w:val="21"/>
        </w:rPr>
        <w:t xml:space="preserve">, </w:t>
      </w:r>
      <w:proofErr w:type="spellStart"/>
      <w:r w:rsidRPr="009E4EF3">
        <w:rPr>
          <w:rFonts w:cstheme="minorHAnsi"/>
          <w:sz w:val="21"/>
          <w:szCs w:val="21"/>
        </w:rPr>
        <w:t>Valcea</w:t>
      </w:r>
      <w:proofErr w:type="spellEnd"/>
      <w:r w:rsidRPr="009E4EF3">
        <w:rPr>
          <w:rFonts w:cstheme="minorHAnsi"/>
          <w:sz w:val="21"/>
          <w:szCs w:val="21"/>
        </w:rPr>
        <w:t xml:space="preserve">, </w:t>
      </w:r>
      <w:proofErr w:type="spellStart"/>
      <w:r w:rsidRPr="009E4EF3">
        <w:rPr>
          <w:rFonts w:cstheme="minorHAnsi"/>
          <w:sz w:val="21"/>
          <w:szCs w:val="21"/>
        </w:rPr>
        <w:t>Vaslui</w:t>
      </w:r>
      <w:proofErr w:type="spellEnd"/>
      <w:r w:rsidRPr="009E4EF3">
        <w:rPr>
          <w:rFonts w:cstheme="minorHAnsi"/>
          <w:sz w:val="21"/>
          <w:szCs w:val="21"/>
        </w:rPr>
        <w:t>, Suceava), on a wide range of topics: education, child protection, health, community participation.</w:t>
      </w:r>
      <w:r w:rsidRPr="009E4EF3">
        <w:rPr>
          <w:rStyle w:val="FootnoteReference"/>
          <w:rFonts w:cstheme="minorHAnsi"/>
          <w:sz w:val="21"/>
          <w:szCs w:val="21"/>
        </w:rPr>
        <w:footnoteReference w:id="33"/>
      </w:r>
      <w:r w:rsidRPr="009E4EF3">
        <w:rPr>
          <w:rFonts w:cstheme="minorHAnsi"/>
          <w:sz w:val="21"/>
          <w:szCs w:val="21"/>
        </w:rPr>
        <w:t xml:space="preserve"> The data used in the study reflects the situation from 2018.</w:t>
      </w:r>
    </w:p>
    <w:p w14:paraId="35DEDC81" w14:textId="77777777" w:rsidR="009E4EF3" w:rsidRPr="009E4EF3" w:rsidRDefault="009E4EF3" w:rsidP="009E4EF3">
      <w:pPr>
        <w:tabs>
          <w:tab w:val="left" w:pos="4055"/>
        </w:tabs>
        <w:spacing w:before="0" w:after="0"/>
        <w:jc w:val="both"/>
        <w:rPr>
          <w:rFonts w:cstheme="minorHAnsi"/>
          <w:color w:val="auto"/>
          <w:sz w:val="21"/>
          <w:szCs w:val="21"/>
        </w:rPr>
      </w:pPr>
    </w:p>
    <w:p w14:paraId="41BE2292" w14:textId="77777777" w:rsidR="009E4EF3" w:rsidRPr="009E4EF3" w:rsidRDefault="009E4EF3" w:rsidP="009E4EF3">
      <w:pPr>
        <w:tabs>
          <w:tab w:val="left" w:pos="4055"/>
        </w:tabs>
        <w:spacing w:before="0" w:after="0"/>
        <w:ind w:left="284"/>
        <w:jc w:val="both"/>
        <w:rPr>
          <w:rFonts w:cstheme="minorHAnsi"/>
          <w:color w:val="auto"/>
          <w:sz w:val="21"/>
          <w:szCs w:val="21"/>
        </w:rPr>
      </w:pPr>
      <w:r w:rsidRPr="009E4EF3">
        <w:rPr>
          <w:rFonts w:cstheme="minorHAnsi"/>
          <w:color w:val="auto"/>
          <w:sz w:val="21"/>
          <w:szCs w:val="21"/>
        </w:rPr>
        <w:t>Highlights on education (general results; the results are not reported on county-level subsamples)</w:t>
      </w:r>
    </w:p>
    <w:p w14:paraId="36410F7C" w14:textId="77777777" w:rsidR="009E4EF3" w:rsidRPr="009E4EF3" w:rsidRDefault="009E4EF3" w:rsidP="009E4EF3">
      <w:pPr>
        <w:tabs>
          <w:tab w:val="left" w:pos="4055"/>
        </w:tabs>
        <w:spacing w:before="0" w:after="0"/>
        <w:ind w:left="284"/>
        <w:jc w:val="both"/>
        <w:rPr>
          <w:rFonts w:cstheme="minorHAnsi"/>
          <w:color w:val="auto"/>
          <w:sz w:val="21"/>
          <w:szCs w:val="21"/>
        </w:rPr>
      </w:pPr>
    </w:p>
    <w:p w14:paraId="78FBD6B8" w14:textId="77777777" w:rsidR="009E4EF3" w:rsidRPr="009E4EF3" w:rsidRDefault="009E4EF3" w:rsidP="009E4EF3">
      <w:pPr>
        <w:pStyle w:val="ListParagraph"/>
        <w:numPr>
          <w:ilvl w:val="0"/>
          <w:numId w:val="4"/>
        </w:numPr>
        <w:tabs>
          <w:tab w:val="left" w:pos="4055"/>
        </w:tabs>
        <w:spacing w:after="0" w:line="240" w:lineRule="auto"/>
        <w:ind w:left="786"/>
        <w:jc w:val="both"/>
        <w:rPr>
          <w:rFonts w:cstheme="minorHAnsi"/>
          <w:sz w:val="21"/>
          <w:szCs w:val="21"/>
        </w:rPr>
      </w:pPr>
      <w:r w:rsidRPr="009E4EF3">
        <w:rPr>
          <w:rFonts w:cstheme="minorHAnsi"/>
          <w:sz w:val="21"/>
          <w:szCs w:val="21"/>
        </w:rPr>
        <w:t>The study reveals a relationship between the financial status of families (self-evaluation) and the kind of advices that parents offer their children regarding their future educational tracks: higher percentages of parents from families that evaluate positively their financial situation encourage their children to follow a high school track; conversely, higher percentages of parents from families with a negative assessment of their financial status encourage their children to follow a vocational education track;</w:t>
      </w:r>
    </w:p>
    <w:p w14:paraId="70694667" w14:textId="77777777" w:rsidR="009E4EF3" w:rsidRPr="009E4EF3" w:rsidRDefault="009E4EF3" w:rsidP="009E4EF3">
      <w:pPr>
        <w:pStyle w:val="ListParagraph"/>
        <w:numPr>
          <w:ilvl w:val="0"/>
          <w:numId w:val="4"/>
        </w:numPr>
        <w:tabs>
          <w:tab w:val="left" w:pos="4055"/>
        </w:tabs>
        <w:spacing w:after="0" w:line="240" w:lineRule="auto"/>
        <w:ind w:left="786"/>
        <w:jc w:val="both"/>
        <w:rPr>
          <w:rFonts w:cstheme="minorHAnsi"/>
          <w:sz w:val="21"/>
          <w:szCs w:val="21"/>
        </w:rPr>
      </w:pPr>
      <w:r w:rsidRPr="009E4EF3">
        <w:rPr>
          <w:rFonts w:cstheme="minorHAnsi"/>
          <w:sz w:val="21"/>
          <w:szCs w:val="21"/>
        </w:rPr>
        <w:t>Most children report that, when needed, they receive help with their homework: 42% from parents; 15% - older siblings; 4% - relatives; 3% - meditators; 9% - teachers. At the same time, 26% of children say no one helps them with the homework when they cannot themselves do it.</w:t>
      </w:r>
      <w:r w:rsidRPr="009E4EF3">
        <w:rPr>
          <w:rStyle w:val="FootnoteReference"/>
          <w:rFonts w:cstheme="minorHAnsi"/>
          <w:sz w:val="21"/>
          <w:szCs w:val="21"/>
        </w:rPr>
        <w:footnoteReference w:id="34"/>
      </w:r>
      <w:r w:rsidRPr="009E4EF3">
        <w:rPr>
          <w:rFonts w:cstheme="minorHAnsi"/>
          <w:sz w:val="21"/>
          <w:szCs w:val="21"/>
        </w:rPr>
        <w:t xml:space="preserve"> </w:t>
      </w:r>
    </w:p>
    <w:p w14:paraId="11BEDD79" w14:textId="77777777" w:rsidR="009E4EF3" w:rsidRPr="009E4EF3" w:rsidRDefault="009E4EF3" w:rsidP="009E4EF3">
      <w:pPr>
        <w:pStyle w:val="ListParagraph"/>
        <w:numPr>
          <w:ilvl w:val="0"/>
          <w:numId w:val="4"/>
        </w:numPr>
        <w:tabs>
          <w:tab w:val="left" w:pos="4055"/>
        </w:tabs>
        <w:spacing w:after="0" w:line="240" w:lineRule="auto"/>
        <w:ind w:left="786"/>
        <w:jc w:val="both"/>
        <w:rPr>
          <w:rFonts w:cstheme="minorHAnsi"/>
          <w:sz w:val="21"/>
          <w:szCs w:val="21"/>
        </w:rPr>
      </w:pPr>
      <w:r w:rsidRPr="009E4EF3">
        <w:rPr>
          <w:rFonts w:cstheme="minorHAnsi"/>
          <w:sz w:val="21"/>
          <w:szCs w:val="21"/>
        </w:rPr>
        <w:t>Most frequently mentioned reasons for school drop-out: high costs of schooling (families cannot support the costs); children’ poor school results; teenagers willing to start a job, so they can have an income;</w:t>
      </w:r>
    </w:p>
    <w:p w14:paraId="62432EC4" w14:textId="77777777" w:rsidR="009E4EF3" w:rsidRPr="009E4EF3" w:rsidRDefault="009E4EF3" w:rsidP="009E4EF3">
      <w:pPr>
        <w:pStyle w:val="ListParagraph"/>
        <w:numPr>
          <w:ilvl w:val="0"/>
          <w:numId w:val="4"/>
        </w:numPr>
        <w:tabs>
          <w:tab w:val="left" w:pos="4055"/>
        </w:tabs>
        <w:spacing w:after="0" w:line="240" w:lineRule="auto"/>
        <w:ind w:left="786"/>
        <w:jc w:val="both"/>
        <w:rPr>
          <w:rFonts w:cstheme="minorHAnsi"/>
          <w:sz w:val="21"/>
          <w:szCs w:val="21"/>
        </w:rPr>
      </w:pPr>
      <w:r w:rsidRPr="009E4EF3">
        <w:rPr>
          <w:rFonts w:cstheme="minorHAnsi"/>
          <w:sz w:val="21"/>
          <w:szCs w:val="21"/>
        </w:rPr>
        <w:t>Schools are not a friendly environment for all; the study reveals that some children do not feel at ease at school, feeling that they are treated differently by their colleagues or by the teachers; most such children have a disadvantaged family background;</w:t>
      </w:r>
    </w:p>
    <w:p w14:paraId="4665FDCE" w14:textId="77777777" w:rsidR="009E4EF3" w:rsidRDefault="009E4EF3" w:rsidP="009E4EF3">
      <w:pPr>
        <w:pStyle w:val="ListParagraph"/>
        <w:numPr>
          <w:ilvl w:val="0"/>
          <w:numId w:val="4"/>
        </w:numPr>
        <w:tabs>
          <w:tab w:val="left" w:pos="4055"/>
        </w:tabs>
        <w:spacing w:after="0" w:line="240" w:lineRule="auto"/>
        <w:ind w:left="786"/>
        <w:jc w:val="both"/>
        <w:rPr>
          <w:rFonts w:cstheme="minorHAnsi"/>
          <w:sz w:val="21"/>
          <w:szCs w:val="21"/>
        </w:rPr>
      </w:pPr>
      <w:r w:rsidRPr="009E4EF3">
        <w:rPr>
          <w:rFonts w:cstheme="minorHAnsi"/>
          <w:sz w:val="21"/>
          <w:szCs w:val="21"/>
        </w:rPr>
        <w:t>The time that some children spend for doing various chores around the household has a bearing on the energy they can invest in school: 6.3% of children feel tired at school because of the work they do at home and 5,5% skip school for the same reason.</w:t>
      </w:r>
      <w:r w:rsidRPr="009E4EF3">
        <w:rPr>
          <w:rStyle w:val="FootnoteReference"/>
          <w:rFonts w:cstheme="minorHAnsi"/>
          <w:sz w:val="21"/>
          <w:szCs w:val="21"/>
        </w:rPr>
        <w:footnoteReference w:id="35"/>
      </w:r>
    </w:p>
    <w:p w14:paraId="51C69131" w14:textId="77777777" w:rsidR="004024A2" w:rsidRPr="004024A2" w:rsidRDefault="004024A2" w:rsidP="004024A2">
      <w:pPr>
        <w:pStyle w:val="ListParagraph"/>
        <w:tabs>
          <w:tab w:val="left" w:pos="4055"/>
        </w:tabs>
        <w:spacing w:after="0" w:line="240" w:lineRule="auto"/>
        <w:ind w:left="786"/>
        <w:jc w:val="both"/>
        <w:rPr>
          <w:rFonts w:cstheme="minorHAnsi"/>
          <w:sz w:val="21"/>
          <w:szCs w:val="21"/>
        </w:rPr>
      </w:pPr>
    </w:p>
    <w:p w14:paraId="49BCD7F9" w14:textId="77777777" w:rsidR="009E4EF3" w:rsidRPr="009E4EF3" w:rsidRDefault="009E4EF3" w:rsidP="009E4EF3">
      <w:pPr>
        <w:pStyle w:val="ListParagraph"/>
        <w:spacing w:after="0" w:line="240" w:lineRule="auto"/>
        <w:ind w:left="0"/>
        <w:jc w:val="both"/>
        <w:rPr>
          <w:rFonts w:cstheme="minorHAnsi"/>
          <w:sz w:val="21"/>
          <w:szCs w:val="21"/>
        </w:rPr>
      </w:pPr>
      <w:r w:rsidRPr="009E4EF3">
        <w:rPr>
          <w:rFonts w:cstheme="minorHAnsi"/>
          <w:sz w:val="21"/>
          <w:szCs w:val="21"/>
        </w:rPr>
        <w:t xml:space="preserve">A study jointly </w:t>
      </w:r>
      <w:proofErr w:type="spellStart"/>
      <w:r w:rsidRPr="009E4EF3">
        <w:rPr>
          <w:rFonts w:cstheme="minorHAnsi"/>
          <w:sz w:val="21"/>
          <w:szCs w:val="21"/>
        </w:rPr>
        <w:t>co-ordinated</w:t>
      </w:r>
      <w:proofErr w:type="spellEnd"/>
      <w:r w:rsidRPr="009E4EF3">
        <w:rPr>
          <w:rFonts w:cstheme="minorHAnsi"/>
          <w:sz w:val="21"/>
          <w:szCs w:val="21"/>
        </w:rPr>
        <w:t xml:space="preserve"> by </w:t>
      </w:r>
      <w:r w:rsidRPr="000B625B">
        <w:rPr>
          <w:rFonts w:cstheme="minorHAnsi"/>
          <w:b/>
          <w:sz w:val="21"/>
          <w:szCs w:val="21"/>
        </w:rPr>
        <w:t>Save the Children Romania and The Ombudsman</w:t>
      </w:r>
      <w:r w:rsidRPr="009E4EF3">
        <w:rPr>
          <w:rFonts w:cstheme="minorHAnsi"/>
          <w:sz w:val="21"/>
          <w:szCs w:val="21"/>
        </w:rPr>
        <w:t xml:space="preserve"> critically reviews the observance of child rights in Romania.</w:t>
      </w:r>
      <w:r w:rsidRPr="009E4EF3">
        <w:rPr>
          <w:rStyle w:val="FootnoteReference"/>
          <w:rFonts w:cstheme="minorHAnsi"/>
          <w:sz w:val="21"/>
          <w:szCs w:val="21"/>
        </w:rPr>
        <w:footnoteReference w:id="36"/>
      </w:r>
      <w:r w:rsidRPr="009E4EF3">
        <w:rPr>
          <w:rFonts w:cstheme="minorHAnsi"/>
          <w:sz w:val="21"/>
          <w:szCs w:val="21"/>
        </w:rPr>
        <w:t xml:space="preserve"> </w:t>
      </w:r>
    </w:p>
    <w:p w14:paraId="6CB636C2" w14:textId="77777777" w:rsidR="009E4EF3" w:rsidRPr="009E4EF3" w:rsidRDefault="009E4EF3" w:rsidP="009E4EF3">
      <w:pPr>
        <w:spacing w:before="0" w:after="0"/>
        <w:jc w:val="both"/>
        <w:rPr>
          <w:rFonts w:cstheme="minorHAnsi"/>
          <w:color w:val="auto"/>
          <w:sz w:val="21"/>
          <w:szCs w:val="21"/>
        </w:rPr>
      </w:pPr>
    </w:p>
    <w:p w14:paraId="255F9F5F" w14:textId="77777777" w:rsidR="009E4EF3" w:rsidRPr="007F053F" w:rsidRDefault="009E4EF3" w:rsidP="009E4EF3">
      <w:pPr>
        <w:pStyle w:val="ListParagraph"/>
        <w:numPr>
          <w:ilvl w:val="0"/>
          <w:numId w:val="9"/>
        </w:numPr>
        <w:spacing w:after="0" w:line="240" w:lineRule="auto"/>
        <w:jc w:val="both"/>
        <w:rPr>
          <w:rFonts w:cstheme="minorHAnsi"/>
          <w:sz w:val="21"/>
          <w:szCs w:val="21"/>
        </w:rPr>
      </w:pPr>
      <w:r w:rsidRPr="009E4EF3">
        <w:rPr>
          <w:rFonts w:cstheme="minorHAnsi"/>
          <w:sz w:val="21"/>
          <w:szCs w:val="21"/>
        </w:rPr>
        <w:t xml:space="preserve">Between 2008 and 2017 430.000 children migrated with their families, and 91% are registered as temporary migrants. During the same interval 245.000 children migrated to Romania. Between 92000 and 16000 children have at least one parent working abroad. There is a decreasing number of children left without both </w:t>
      </w:r>
      <w:r w:rsidRPr="007F053F">
        <w:rPr>
          <w:rFonts w:cstheme="minorHAnsi"/>
          <w:sz w:val="21"/>
          <w:szCs w:val="21"/>
        </w:rPr>
        <w:t xml:space="preserve">parents or without the single parent: in 2008 there were 42-43%, and in 2017-2018 there are 32% (out of the number of children with at least one parent working abroad). </w:t>
      </w:r>
    </w:p>
    <w:p w14:paraId="6071D2C1" w14:textId="77777777" w:rsidR="009E4EF3" w:rsidRPr="009E4EF3" w:rsidRDefault="009E4EF3" w:rsidP="009E4EF3">
      <w:pPr>
        <w:pStyle w:val="ListParagraph"/>
        <w:numPr>
          <w:ilvl w:val="0"/>
          <w:numId w:val="9"/>
        </w:numPr>
        <w:spacing w:after="0" w:line="240" w:lineRule="auto"/>
        <w:jc w:val="both"/>
        <w:rPr>
          <w:rFonts w:cstheme="minorHAnsi"/>
          <w:sz w:val="21"/>
          <w:szCs w:val="21"/>
        </w:rPr>
      </w:pPr>
      <w:r w:rsidRPr="007F053F">
        <w:rPr>
          <w:rFonts w:cstheme="minorHAnsi"/>
          <w:sz w:val="21"/>
          <w:szCs w:val="21"/>
        </w:rPr>
        <w:t xml:space="preserve">Romania, together with Hungary, registers the highest difference between children at risk of poverty and social exclusion and the overall population at the same risk (6%). Most important factors increasing risk of poverty: capacity to draw income at the level of the family (strongly correlated with the parents’ education), family structure/number of family members, efficiency of public services (benefits, social services). Number of people at risk of poverty in rural areas is twice as high as in urban settings. </w:t>
      </w:r>
      <w:r w:rsidRPr="009E4EF3">
        <w:rPr>
          <w:rFonts w:cstheme="minorHAnsi"/>
          <w:sz w:val="21"/>
          <w:szCs w:val="21"/>
        </w:rPr>
        <w:t xml:space="preserve">Percentage of young people not working and not employed or in training (NEET) 14.5%, in comparison to EU average 10.5%. </w:t>
      </w:r>
    </w:p>
    <w:p w14:paraId="09AF2EC0" w14:textId="77777777" w:rsidR="009E4EF3" w:rsidRPr="009E4EF3" w:rsidRDefault="009E4EF3" w:rsidP="009E4EF3">
      <w:pPr>
        <w:pStyle w:val="ListParagraph"/>
        <w:numPr>
          <w:ilvl w:val="0"/>
          <w:numId w:val="9"/>
        </w:numPr>
        <w:spacing w:after="0" w:line="240" w:lineRule="auto"/>
        <w:jc w:val="both"/>
        <w:rPr>
          <w:rFonts w:cstheme="minorHAnsi"/>
          <w:sz w:val="21"/>
          <w:szCs w:val="21"/>
        </w:rPr>
      </w:pPr>
      <w:r w:rsidRPr="009E4EF3">
        <w:rPr>
          <w:rFonts w:cstheme="minorHAnsi"/>
          <w:sz w:val="21"/>
          <w:szCs w:val="21"/>
        </w:rPr>
        <w:t xml:space="preserve">Law 1/2011, Law on education: Education is national priority. Out of the 4 principles of the UN Convention, only one is integrated in the law – nondiscrimination. RE the right to life and survival, the law does not include any regulation that would assert the obligation to offer standards of safety and security to children (there is the example about lack of fire proof authorization for 4000 buildings, or sanitary verifications not existing for 20% of school spaces, considered as a consequence of the law not talking </w:t>
      </w:r>
      <w:r w:rsidRPr="009E4EF3">
        <w:rPr>
          <w:rFonts w:cstheme="minorHAnsi"/>
          <w:sz w:val="21"/>
          <w:szCs w:val="21"/>
        </w:rPr>
        <w:lastRenderedPageBreak/>
        <w:t>about safety and security). Child participation is also not realized, except for the right of opinion, and, in the case of school children, there can be one representative, older than 18 (which means that by the time he learns the ropes of representation, he will be out of school). Also, the law does not have the principle of child’s best interest (</w:t>
      </w:r>
      <w:proofErr w:type="spellStart"/>
      <w:r w:rsidRPr="009E4EF3">
        <w:rPr>
          <w:rFonts w:cstheme="minorHAnsi"/>
          <w:sz w:val="21"/>
          <w:szCs w:val="21"/>
        </w:rPr>
        <w:t>principiul</w:t>
      </w:r>
      <w:proofErr w:type="spellEnd"/>
      <w:r w:rsidRPr="009E4EF3">
        <w:rPr>
          <w:rFonts w:cstheme="minorHAnsi"/>
          <w:sz w:val="21"/>
          <w:szCs w:val="21"/>
        </w:rPr>
        <w:t xml:space="preserve"> </w:t>
      </w:r>
      <w:proofErr w:type="spellStart"/>
      <w:r w:rsidRPr="009E4EF3">
        <w:rPr>
          <w:rFonts w:cstheme="minorHAnsi"/>
          <w:sz w:val="21"/>
          <w:szCs w:val="21"/>
        </w:rPr>
        <w:t>interesului</w:t>
      </w:r>
      <w:proofErr w:type="spellEnd"/>
      <w:r w:rsidRPr="009E4EF3">
        <w:rPr>
          <w:rFonts w:cstheme="minorHAnsi"/>
          <w:sz w:val="21"/>
          <w:szCs w:val="21"/>
        </w:rPr>
        <w:t xml:space="preserve"> superior al </w:t>
      </w:r>
      <w:proofErr w:type="spellStart"/>
      <w:r w:rsidRPr="009E4EF3">
        <w:rPr>
          <w:rFonts w:cstheme="minorHAnsi"/>
          <w:sz w:val="21"/>
          <w:szCs w:val="21"/>
        </w:rPr>
        <w:t>copilului</w:t>
      </w:r>
      <w:proofErr w:type="spellEnd"/>
      <w:r w:rsidRPr="009E4EF3">
        <w:rPr>
          <w:rFonts w:cstheme="minorHAnsi"/>
          <w:sz w:val="21"/>
          <w:szCs w:val="21"/>
        </w:rPr>
        <w:t xml:space="preserve">). </w:t>
      </w:r>
    </w:p>
    <w:p w14:paraId="20A14029" w14:textId="77777777" w:rsidR="009E4EF3" w:rsidRPr="009E4EF3" w:rsidRDefault="009E4EF3" w:rsidP="009E4EF3">
      <w:pPr>
        <w:pStyle w:val="ListParagraph"/>
        <w:numPr>
          <w:ilvl w:val="0"/>
          <w:numId w:val="9"/>
        </w:numPr>
        <w:spacing w:after="0" w:line="240" w:lineRule="auto"/>
        <w:jc w:val="both"/>
        <w:rPr>
          <w:rFonts w:cstheme="minorHAnsi"/>
          <w:sz w:val="21"/>
          <w:szCs w:val="21"/>
        </w:rPr>
      </w:pPr>
      <w:r w:rsidRPr="009E4EF3">
        <w:rPr>
          <w:rFonts w:cstheme="minorHAnsi"/>
          <w:sz w:val="21"/>
          <w:szCs w:val="21"/>
        </w:rPr>
        <w:t xml:space="preserve">Information about education budgeting available at page 49. </w:t>
      </w:r>
    </w:p>
    <w:p w14:paraId="65273883" w14:textId="77777777" w:rsidR="009E4EF3" w:rsidRPr="009E4EF3" w:rsidRDefault="009E4EF3" w:rsidP="009E4EF3">
      <w:pPr>
        <w:spacing w:before="0" w:after="0"/>
        <w:rPr>
          <w:rFonts w:cstheme="minorHAnsi"/>
          <w:color w:val="auto"/>
          <w:sz w:val="21"/>
          <w:szCs w:val="21"/>
        </w:rPr>
      </w:pPr>
    </w:p>
    <w:p w14:paraId="2CAFEEB4" w14:textId="77777777" w:rsidR="009E4EF3" w:rsidRPr="009E4EF3" w:rsidRDefault="009E4EF3" w:rsidP="009E4EF3">
      <w:pPr>
        <w:pStyle w:val="ListParagraph"/>
        <w:tabs>
          <w:tab w:val="left" w:pos="4055"/>
        </w:tabs>
        <w:spacing w:after="0" w:line="240" w:lineRule="auto"/>
        <w:ind w:left="405"/>
        <w:jc w:val="both"/>
        <w:rPr>
          <w:rFonts w:cstheme="minorHAnsi"/>
          <w:sz w:val="21"/>
          <w:szCs w:val="21"/>
        </w:rPr>
      </w:pPr>
    </w:p>
    <w:p w14:paraId="7465458E" w14:textId="77777777" w:rsidR="009E4EF3" w:rsidRPr="009E4EF3" w:rsidRDefault="009E4EF3" w:rsidP="009E4EF3">
      <w:pPr>
        <w:pStyle w:val="ListParagraph"/>
        <w:spacing w:after="0" w:line="240" w:lineRule="auto"/>
        <w:ind w:left="0"/>
        <w:jc w:val="both"/>
        <w:rPr>
          <w:rFonts w:cstheme="minorHAnsi"/>
          <w:sz w:val="21"/>
          <w:szCs w:val="21"/>
        </w:rPr>
      </w:pPr>
      <w:r w:rsidRPr="009E4EF3">
        <w:rPr>
          <w:rFonts w:cstheme="minorHAnsi"/>
          <w:sz w:val="21"/>
          <w:szCs w:val="21"/>
        </w:rPr>
        <w:t xml:space="preserve">A study by </w:t>
      </w:r>
      <w:r w:rsidRPr="000B625B">
        <w:rPr>
          <w:rFonts w:cstheme="minorHAnsi"/>
          <w:b/>
          <w:sz w:val="21"/>
          <w:szCs w:val="21"/>
        </w:rPr>
        <w:t>Save the Children Romania</w:t>
      </w:r>
      <w:r w:rsidRPr="009E4EF3">
        <w:rPr>
          <w:rFonts w:cstheme="minorHAnsi"/>
          <w:sz w:val="21"/>
          <w:szCs w:val="21"/>
        </w:rPr>
        <w:t xml:space="preserve"> examines the various costs of education, by looking at how families cope with schooling expenses and how schools administer their budgets.</w:t>
      </w:r>
      <w:r w:rsidRPr="009E4EF3">
        <w:rPr>
          <w:rStyle w:val="FootnoteReference"/>
          <w:rFonts w:cstheme="minorHAnsi"/>
          <w:sz w:val="21"/>
          <w:szCs w:val="21"/>
        </w:rPr>
        <w:footnoteReference w:id="37"/>
      </w:r>
      <w:r w:rsidRPr="009E4EF3">
        <w:rPr>
          <w:rFonts w:cstheme="minorHAnsi"/>
          <w:sz w:val="21"/>
          <w:szCs w:val="21"/>
        </w:rPr>
        <w:t xml:space="preserve"> </w:t>
      </w:r>
    </w:p>
    <w:p w14:paraId="6C2A5471" w14:textId="77777777" w:rsidR="009E4EF3" w:rsidRPr="009E4EF3" w:rsidRDefault="009E4EF3" w:rsidP="009E4EF3">
      <w:pPr>
        <w:spacing w:before="0" w:after="0"/>
        <w:jc w:val="both"/>
        <w:rPr>
          <w:rFonts w:cstheme="minorHAnsi"/>
          <w:b/>
          <w:color w:val="auto"/>
          <w:sz w:val="21"/>
          <w:szCs w:val="21"/>
        </w:rPr>
      </w:pPr>
    </w:p>
    <w:p w14:paraId="2EF656A2" w14:textId="77777777" w:rsidR="009E4EF3" w:rsidRPr="009E4EF3" w:rsidRDefault="009E4EF3" w:rsidP="009E4EF3">
      <w:pPr>
        <w:pStyle w:val="ListParagraph"/>
        <w:numPr>
          <w:ilvl w:val="0"/>
          <w:numId w:val="10"/>
        </w:numPr>
        <w:spacing w:after="0" w:line="240" w:lineRule="auto"/>
        <w:jc w:val="both"/>
        <w:rPr>
          <w:rFonts w:cstheme="minorHAnsi"/>
          <w:sz w:val="21"/>
          <w:szCs w:val="21"/>
        </w:rPr>
      </w:pPr>
      <w:r w:rsidRPr="009E4EF3">
        <w:rPr>
          <w:rFonts w:cstheme="minorHAnsi"/>
          <w:sz w:val="21"/>
          <w:szCs w:val="21"/>
        </w:rPr>
        <w:t>Survey face to face 903 respondents</w:t>
      </w:r>
      <w:r w:rsidRPr="007F053F">
        <w:rPr>
          <w:rFonts w:cstheme="minorHAnsi"/>
          <w:sz w:val="21"/>
          <w:szCs w:val="21"/>
        </w:rPr>
        <w:t xml:space="preserve">, national sample, on parents older than 18 years of age; theoretical </w:t>
      </w:r>
      <w:r w:rsidRPr="009E4EF3">
        <w:rPr>
          <w:rFonts w:cstheme="minorHAnsi"/>
          <w:sz w:val="21"/>
          <w:szCs w:val="21"/>
        </w:rPr>
        <w:t>sampling/snowballing, stratified, quotas on being parent and the cycle of education the child is enrolled in (including class “0”, primary, secondary and high school).</w:t>
      </w:r>
    </w:p>
    <w:p w14:paraId="3B6647C3" w14:textId="77777777" w:rsidR="009E4EF3" w:rsidRPr="009E4EF3" w:rsidRDefault="009E4EF3" w:rsidP="009E4EF3">
      <w:pPr>
        <w:pStyle w:val="ListParagraph"/>
        <w:numPr>
          <w:ilvl w:val="0"/>
          <w:numId w:val="10"/>
        </w:numPr>
        <w:spacing w:after="0" w:line="240" w:lineRule="auto"/>
        <w:jc w:val="both"/>
        <w:rPr>
          <w:rFonts w:cstheme="minorHAnsi"/>
          <w:sz w:val="21"/>
          <w:szCs w:val="21"/>
        </w:rPr>
      </w:pPr>
      <w:r w:rsidRPr="009E4EF3">
        <w:rPr>
          <w:rFonts w:cstheme="minorHAnsi"/>
          <w:sz w:val="21"/>
          <w:szCs w:val="21"/>
        </w:rPr>
        <w:t xml:space="preserve">On average, a family spends about 3000 lei/year annually for the free education of a child (approx. 600 euros), higher in urban areas. Also, the amount is higher in the case of older students. In comparison with a similar study conducted in 2010, the cost doubled. </w:t>
      </w:r>
    </w:p>
    <w:p w14:paraId="5DDBE58B" w14:textId="77777777" w:rsidR="009E4EF3" w:rsidRPr="009E4EF3" w:rsidRDefault="009E4EF3" w:rsidP="009E4EF3">
      <w:pPr>
        <w:pStyle w:val="ListParagraph"/>
        <w:numPr>
          <w:ilvl w:val="0"/>
          <w:numId w:val="10"/>
        </w:numPr>
        <w:spacing w:after="0" w:line="240" w:lineRule="auto"/>
        <w:jc w:val="both"/>
        <w:rPr>
          <w:rFonts w:cstheme="minorHAnsi"/>
          <w:sz w:val="21"/>
          <w:szCs w:val="21"/>
        </w:rPr>
      </w:pPr>
      <w:r w:rsidRPr="009E4EF3">
        <w:rPr>
          <w:rFonts w:cstheme="minorHAnsi"/>
          <w:sz w:val="21"/>
          <w:szCs w:val="21"/>
        </w:rPr>
        <w:t xml:space="preserve">Private lessons have become more expensive, and the percentage of those paying for private lessons increased from 24% to 40%. </w:t>
      </w:r>
      <w:proofErr w:type="spellStart"/>
      <w:r w:rsidRPr="009E4EF3">
        <w:rPr>
          <w:rFonts w:cstheme="minorHAnsi"/>
          <w:sz w:val="21"/>
          <w:szCs w:val="21"/>
        </w:rPr>
        <w:t>Fondul</w:t>
      </w:r>
      <w:proofErr w:type="spellEnd"/>
      <w:r w:rsidRPr="009E4EF3">
        <w:rPr>
          <w:rFonts w:cstheme="minorHAnsi"/>
          <w:sz w:val="21"/>
          <w:szCs w:val="21"/>
        </w:rPr>
        <w:t xml:space="preserve"> </w:t>
      </w:r>
      <w:proofErr w:type="spellStart"/>
      <w:r w:rsidRPr="009E4EF3">
        <w:rPr>
          <w:rFonts w:cstheme="minorHAnsi"/>
          <w:sz w:val="21"/>
          <w:szCs w:val="21"/>
        </w:rPr>
        <w:t>clasei</w:t>
      </w:r>
      <w:proofErr w:type="spellEnd"/>
      <w:r w:rsidRPr="009E4EF3">
        <w:rPr>
          <w:rFonts w:cstheme="minorHAnsi"/>
          <w:sz w:val="21"/>
          <w:szCs w:val="21"/>
        </w:rPr>
        <w:t xml:space="preserve"> (class fund) is less popular/fewer parents pay into it than in 2010, but children or parents are still not really consulted about how the money should be spent. </w:t>
      </w:r>
    </w:p>
    <w:p w14:paraId="5802004D" w14:textId="77777777" w:rsidR="009E4EF3" w:rsidRPr="009E4EF3" w:rsidRDefault="009E4EF3" w:rsidP="009E4EF3">
      <w:pPr>
        <w:pStyle w:val="ListParagraph"/>
        <w:numPr>
          <w:ilvl w:val="0"/>
          <w:numId w:val="10"/>
        </w:numPr>
        <w:spacing w:after="0" w:line="240" w:lineRule="auto"/>
        <w:jc w:val="both"/>
        <w:rPr>
          <w:rFonts w:cstheme="minorHAnsi"/>
          <w:sz w:val="21"/>
          <w:szCs w:val="21"/>
        </w:rPr>
      </w:pPr>
      <w:r w:rsidRPr="009E4EF3">
        <w:rPr>
          <w:rFonts w:cstheme="minorHAnsi"/>
          <w:sz w:val="21"/>
          <w:szCs w:val="21"/>
        </w:rPr>
        <w:t xml:space="preserve">Corruption decreased in comparison to 2010 (money asked for enrolling the child in school, higher grades, passing exams, or “protocol” for exam commissions) from 5% to 1%. </w:t>
      </w:r>
    </w:p>
    <w:p w14:paraId="5FD27F02" w14:textId="77777777" w:rsidR="009E4EF3" w:rsidRPr="009E4EF3" w:rsidRDefault="009E4EF3" w:rsidP="009E4EF3">
      <w:pPr>
        <w:pStyle w:val="ListParagraph"/>
        <w:numPr>
          <w:ilvl w:val="0"/>
          <w:numId w:val="10"/>
        </w:numPr>
        <w:spacing w:after="0" w:line="240" w:lineRule="auto"/>
        <w:jc w:val="both"/>
        <w:rPr>
          <w:rFonts w:cstheme="minorHAnsi"/>
          <w:sz w:val="21"/>
          <w:szCs w:val="21"/>
        </w:rPr>
      </w:pPr>
      <w:r w:rsidRPr="009E4EF3">
        <w:rPr>
          <w:rFonts w:cstheme="minorHAnsi"/>
          <w:sz w:val="21"/>
          <w:szCs w:val="21"/>
        </w:rPr>
        <w:t xml:space="preserve">The two highest categories of costs come from private lessons and after school programs (although after school programs themselves are only found for a minority of parents 10%), followed somewhat distantly by food (in school). </w:t>
      </w:r>
    </w:p>
    <w:p w14:paraId="295F654A" w14:textId="77777777" w:rsidR="009E4EF3" w:rsidRPr="009E4EF3" w:rsidRDefault="009E4EF3" w:rsidP="009E4EF3">
      <w:pPr>
        <w:pStyle w:val="ListParagraph"/>
        <w:numPr>
          <w:ilvl w:val="0"/>
          <w:numId w:val="10"/>
        </w:numPr>
        <w:spacing w:after="0" w:line="240" w:lineRule="auto"/>
        <w:jc w:val="both"/>
        <w:rPr>
          <w:rFonts w:cstheme="minorHAnsi"/>
          <w:sz w:val="21"/>
          <w:szCs w:val="21"/>
        </w:rPr>
      </w:pPr>
      <w:r w:rsidRPr="009E4EF3">
        <w:rPr>
          <w:rFonts w:cstheme="minorHAnsi"/>
          <w:sz w:val="21"/>
          <w:szCs w:val="21"/>
        </w:rPr>
        <w:t xml:space="preserve">About 40% do not participate in extracurricular recreation activities, such as trips or attending cultural events. </w:t>
      </w:r>
    </w:p>
    <w:p w14:paraId="4BBDA17F" w14:textId="77777777" w:rsidR="009E4EF3" w:rsidRPr="009E4EF3" w:rsidRDefault="009E4EF3" w:rsidP="009E4EF3">
      <w:pPr>
        <w:spacing w:before="0" w:after="0"/>
        <w:jc w:val="both"/>
        <w:rPr>
          <w:rFonts w:cstheme="minorHAnsi"/>
          <w:color w:val="auto"/>
          <w:sz w:val="21"/>
          <w:szCs w:val="21"/>
        </w:rPr>
      </w:pPr>
    </w:p>
    <w:p w14:paraId="44E96844" w14:textId="77777777" w:rsidR="009E4EF3" w:rsidRPr="009E4EF3" w:rsidRDefault="009E4EF3" w:rsidP="009E4EF3">
      <w:pPr>
        <w:pStyle w:val="ListParagraph"/>
        <w:spacing w:after="0" w:line="240" w:lineRule="auto"/>
        <w:ind w:left="-142"/>
        <w:jc w:val="both"/>
        <w:rPr>
          <w:rFonts w:cstheme="minorHAnsi"/>
          <w:sz w:val="21"/>
          <w:szCs w:val="21"/>
        </w:rPr>
      </w:pPr>
      <w:r w:rsidRPr="009E4EF3">
        <w:rPr>
          <w:rFonts w:cstheme="minorHAnsi"/>
          <w:sz w:val="21"/>
          <w:szCs w:val="21"/>
        </w:rPr>
        <w:t xml:space="preserve">A study by </w:t>
      </w:r>
      <w:r w:rsidRPr="000B625B">
        <w:rPr>
          <w:rFonts w:cstheme="minorHAnsi"/>
          <w:b/>
          <w:sz w:val="21"/>
          <w:szCs w:val="21"/>
        </w:rPr>
        <w:t>Save the Children Romania</w:t>
      </w:r>
      <w:r w:rsidRPr="009E4EF3">
        <w:rPr>
          <w:rFonts w:cstheme="minorHAnsi"/>
          <w:sz w:val="21"/>
          <w:szCs w:val="21"/>
        </w:rPr>
        <w:t xml:space="preserve"> on the use of internet by children outlines the latest developments regarding the online behavior of children and the associated challenges.</w:t>
      </w:r>
      <w:r w:rsidRPr="009E4EF3">
        <w:rPr>
          <w:rStyle w:val="FootnoteReference"/>
          <w:rFonts w:cstheme="minorHAnsi"/>
          <w:sz w:val="21"/>
          <w:szCs w:val="21"/>
        </w:rPr>
        <w:footnoteReference w:id="38"/>
      </w:r>
      <w:r w:rsidRPr="009E4EF3">
        <w:rPr>
          <w:rFonts w:cstheme="minorHAnsi"/>
          <w:sz w:val="21"/>
          <w:szCs w:val="21"/>
        </w:rPr>
        <w:t xml:space="preserve"> </w:t>
      </w:r>
    </w:p>
    <w:p w14:paraId="4951DE75" w14:textId="77777777" w:rsidR="009E4EF3" w:rsidRPr="009E4EF3" w:rsidRDefault="009E4EF3" w:rsidP="009E4EF3">
      <w:pPr>
        <w:spacing w:before="0" w:after="0"/>
        <w:jc w:val="both"/>
        <w:rPr>
          <w:rFonts w:cstheme="minorHAnsi"/>
          <w:b/>
          <w:color w:val="auto"/>
          <w:sz w:val="21"/>
          <w:szCs w:val="21"/>
        </w:rPr>
      </w:pPr>
    </w:p>
    <w:p w14:paraId="64CFFB9A" w14:textId="77777777" w:rsidR="009E4EF3" w:rsidRPr="009E4EF3" w:rsidRDefault="009E4EF3" w:rsidP="009E4EF3">
      <w:pPr>
        <w:pStyle w:val="ListParagraph"/>
        <w:numPr>
          <w:ilvl w:val="0"/>
          <w:numId w:val="11"/>
        </w:numPr>
        <w:spacing w:after="0" w:line="240" w:lineRule="auto"/>
        <w:jc w:val="both"/>
        <w:rPr>
          <w:rFonts w:cstheme="minorHAnsi"/>
          <w:sz w:val="21"/>
          <w:szCs w:val="21"/>
        </w:rPr>
      </w:pPr>
      <w:r w:rsidRPr="009E4EF3">
        <w:rPr>
          <w:rFonts w:cstheme="minorHAnsi"/>
          <w:sz w:val="21"/>
          <w:szCs w:val="21"/>
        </w:rPr>
        <w:t>Online poll, 1156 children between 12 and 17 years of age non probabilistic sampling among internet users</w:t>
      </w:r>
    </w:p>
    <w:p w14:paraId="19F43FA1" w14:textId="77777777" w:rsidR="009E4EF3" w:rsidRPr="009E4EF3" w:rsidRDefault="009E4EF3" w:rsidP="009E4EF3">
      <w:pPr>
        <w:pStyle w:val="ListParagraph"/>
        <w:numPr>
          <w:ilvl w:val="0"/>
          <w:numId w:val="11"/>
        </w:numPr>
        <w:spacing w:after="0" w:line="240" w:lineRule="auto"/>
        <w:jc w:val="both"/>
        <w:rPr>
          <w:rFonts w:cstheme="minorHAnsi"/>
          <w:sz w:val="21"/>
          <w:szCs w:val="21"/>
        </w:rPr>
      </w:pPr>
      <w:r w:rsidRPr="009E4EF3">
        <w:rPr>
          <w:rFonts w:cstheme="minorHAnsi"/>
          <w:sz w:val="21"/>
          <w:szCs w:val="21"/>
        </w:rPr>
        <w:t xml:space="preserve">In Romania, the age when children first start using the Internet sees a descending trend (in the youngest cohort that the study uses, the average age was 7.4).  Most of them access the Internet from their mobile phones, and a staggering 99.3% have a social media profile. </w:t>
      </w:r>
    </w:p>
    <w:p w14:paraId="4A39C08E" w14:textId="77777777" w:rsidR="009E4EF3" w:rsidRPr="007F053F" w:rsidRDefault="009E4EF3" w:rsidP="009E4EF3">
      <w:pPr>
        <w:pStyle w:val="ListParagraph"/>
        <w:numPr>
          <w:ilvl w:val="0"/>
          <w:numId w:val="11"/>
        </w:numPr>
        <w:spacing w:after="0" w:line="240" w:lineRule="auto"/>
        <w:jc w:val="both"/>
        <w:rPr>
          <w:rFonts w:cstheme="minorHAnsi"/>
          <w:sz w:val="21"/>
          <w:szCs w:val="21"/>
        </w:rPr>
      </w:pPr>
      <w:r w:rsidRPr="007F053F">
        <w:rPr>
          <w:rFonts w:cstheme="minorHAnsi"/>
          <w:sz w:val="21"/>
          <w:szCs w:val="21"/>
        </w:rPr>
        <w:t>More than 20% of children spend more than 6 hours online in a school day (or they are constantly checking their social media accounts), and almost 50% spend more than 6 hours a day during the weekend. About 40% mention going on the internet without a specific purpose, and about 13% have not eaten in order to stay online.</w:t>
      </w:r>
    </w:p>
    <w:p w14:paraId="249CE2DA" w14:textId="77777777" w:rsidR="009E4EF3" w:rsidRPr="007F053F" w:rsidRDefault="009E4EF3" w:rsidP="009E4EF3">
      <w:pPr>
        <w:pStyle w:val="ListParagraph"/>
        <w:numPr>
          <w:ilvl w:val="0"/>
          <w:numId w:val="11"/>
        </w:numPr>
        <w:spacing w:after="0" w:line="240" w:lineRule="auto"/>
        <w:jc w:val="both"/>
        <w:rPr>
          <w:rFonts w:cstheme="minorHAnsi"/>
          <w:sz w:val="21"/>
          <w:szCs w:val="21"/>
        </w:rPr>
      </w:pPr>
      <w:r w:rsidRPr="007F053F">
        <w:rPr>
          <w:rFonts w:cstheme="minorHAnsi"/>
          <w:sz w:val="21"/>
          <w:szCs w:val="21"/>
        </w:rPr>
        <w:t xml:space="preserve">About 40% mention that they have been upset/annoyed by either known or unknown people in online interaction, and the incidence is higher in the case of girls and high-school students. The internet is the most popular source of information for children, with almost half of them not double-checking the truth behind certain data. Although about 60% mentioned feeling uncomfortable by some types of information found online (mostly violent and/or sexual content), less than 2 in every 10 children say they did </w:t>
      </w:r>
      <w:r w:rsidRPr="007F053F">
        <w:rPr>
          <w:rFonts w:cstheme="minorHAnsi"/>
          <w:sz w:val="21"/>
          <w:szCs w:val="21"/>
        </w:rPr>
        <w:lastRenderedPageBreak/>
        <w:t>something about it, like talking to someone. 22% mention having received a sexually charged message at least once a week.</w:t>
      </w:r>
    </w:p>
    <w:p w14:paraId="31B781D0" w14:textId="77777777" w:rsidR="009E4EF3" w:rsidRPr="007F053F" w:rsidRDefault="009E4EF3" w:rsidP="009E4EF3">
      <w:pPr>
        <w:pStyle w:val="ListParagraph"/>
        <w:numPr>
          <w:ilvl w:val="0"/>
          <w:numId w:val="11"/>
        </w:numPr>
        <w:spacing w:after="0" w:line="240" w:lineRule="auto"/>
        <w:jc w:val="both"/>
        <w:rPr>
          <w:rFonts w:cstheme="minorHAnsi"/>
          <w:sz w:val="21"/>
          <w:szCs w:val="21"/>
        </w:rPr>
      </w:pPr>
      <w:r w:rsidRPr="007F053F">
        <w:rPr>
          <w:rFonts w:cstheme="minorHAnsi"/>
          <w:sz w:val="21"/>
          <w:szCs w:val="21"/>
        </w:rPr>
        <w:t xml:space="preserve">About half of the children who had access to sexual content messages said that they received those in a personalized matter, and 20% were asked to either record themselves of send photos of their sexual organs. The incidence of such instances is much higher among girls. </w:t>
      </w:r>
    </w:p>
    <w:p w14:paraId="67FBE060" w14:textId="77777777" w:rsidR="009E4EF3" w:rsidRPr="007F053F" w:rsidRDefault="009E4EF3" w:rsidP="009E4EF3">
      <w:pPr>
        <w:pStyle w:val="ListParagraph"/>
        <w:numPr>
          <w:ilvl w:val="0"/>
          <w:numId w:val="11"/>
        </w:numPr>
        <w:spacing w:after="0" w:line="240" w:lineRule="auto"/>
        <w:jc w:val="both"/>
        <w:rPr>
          <w:rFonts w:cstheme="minorHAnsi"/>
          <w:sz w:val="21"/>
          <w:szCs w:val="21"/>
        </w:rPr>
      </w:pPr>
      <w:r w:rsidRPr="007F053F">
        <w:rPr>
          <w:rFonts w:cstheme="minorHAnsi"/>
          <w:sz w:val="21"/>
          <w:szCs w:val="21"/>
        </w:rPr>
        <w:t xml:space="preserve">Although more than 70% mention that they use Internet in school, less than half of those use it in class, but rather for checking their online media accounts in during breaks or even classes; moreover, almost 40% say that teachers do not encourage them to use internet. </w:t>
      </w:r>
    </w:p>
    <w:p w14:paraId="44DBBE95" w14:textId="77777777" w:rsidR="009E4EF3" w:rsidRPr="007F053F" w:rsidRDefault="009E4EF3" w:rsidP="009E4EF3">
      <w:pPr>
        <w:pStyle w:val="ListParagraph"/>
        <w:numPr>
          <w:ilvl w:val="0"/>
          <w:numId w:val="11"/>
        </w:numPr>
        <w:spacing w:after="0" w:line="240" w:lineRule="auto"/>
        <w:jc w:val="both"/>
        <w:rPr>
          <w:rFonts w:cstheme="minorHAnsi"/>
          <w:sz w:val="21"/>
          <w:szCs w:val="21"/>
        </w:rPr>
      </w:pPr>
      <w:r w:rsidRPr="007F053F">
        <w:rPr>
          <w:rFonts w:cstheme="minorHAnsi"/>
          <w:sz w:val="21"/>
          <w:szCs w:val="21"/>
        </w:rPr>
        <w:t xml:space="preserve">More than 60% play games online, and the proportion is significantly higher in the case of </w:t>
      </w:r>
      <w:proofErr w:type="gramStart"/>
      <w:r w:rsidRPr="007F053F">
        <w:rPr>
          <w:rFonts w:cstheme="minorHAnsi"/>
          <w:sz w:val="21"/>
          <w:szCs w:val="21"/>
        </w:rPr>
        <w:t>boys</w:t>
      </w:r>
      <w:proofErr w:type="gramEnd"/>
      <w:r w:rsidRPr="007F053F">
        <w:rPr>
          <w:rFonts w:cstheme="minorHAnsi"/>
          <w:sz w:val="21"/>
          <w:szCs w:val="21"/>
        </w:rPr>
        <w:t xml:space="preserve"> ad secondary school children; they are gaming online for relaxation or out of boredom. </w:t>
      </w:r>
    </w:p>
    <w:p w14:paraId="3D2B2FB3" w14:textId="77777777" w:rsidR="009E4EF3" w:rsidRPr="007F053F" w:rsidRDefault="009E4EF3" w:rsidP="009E4EF3">
      <w:pPr>
        <w:pStyle w:val="ListParagraph"/>
        <w:numPr>
          <w:ilvl w:val="0"/>
          <w:numId w:val="11"/>
        </w:numPr>
        <w:spacing w:after="0" w:line="240" w:lineRule="auto"/>
        <w:jc w:val="both"/>
        <w:rPr>
          <w:rFonts w:cstheme="minorHAnsi"/>
          <w:sz w:val="21"/>
          <w:szCs w:val="21"/>
        </w:rPr>
      </w:pPr>
      <w:r w:rsidRPr="007F053F">
        <w:rPr>
          <w:rFonts w:cstheme="minorHAnsi"/>
          <w:sz w:val="21"/>
          <w:szCs w:val="21"/>
        </w:rPr>
        <w:t>Children in single parent families spend more time online, and are also engaged in/subjected to sexual messages. There is a direct inverse relationship between the amount of time spent online and general wellbeing: children spending more than 6 hours a day online are less optimistic about their present or future, less happy with their interaction with family, friends or teachers, and feel less relaxed.</w:t>
      </w:r>
    </w:p>
    <w:p w14:paraId="3CD1AA23" w14:textId="77777777" w:rsidR="009E4EF3" w:rsidRPr="007F053F" w:rsidRDefault="009E4EF3" w:rsidP="009E4EF3">
      <w:pPr>
        <w:pStyle w:val="ListParagraph"/>
        <w:numPr>
          <w:ilvl w:val="0"/>
          <w:numId w:val="11"/>
        </w:numPr>
        <w:spacing w:after="0" w:line="240" w:lineRule="auto"/>
        <w:jc w:val="both"/>
        <w:rPr>
          <w:rFonts w:cstheme="minorHAnsi"/>
          <w:sz w:val="21"/>
          <w:szCs w:val="21"/>
        </w:rPr>
      </w:pPr>
      <w:r w:rsidRPr="007F053F">
        <w:rPr>
          <w:rFonts w:cstheme="minorHAnsi"/>
          <w:sz w:val="21"/>
          <w:szCs w:val="21"/>
        </w:rPr>
        <w:t xml:space="preserve">Children that are somewhat addicted to the internet have, in general, lower emotional wellbeing scores.  </w:t>
      </w:r>
    </w:p>
    <w:p w14:paraId="5278DED3" w14:textId="77777777" w:rsidR="009E4EF3" w:rsidRPr="007F053F" w:rsidRDefault="009E4EF3" w:rsidP="009E4EF3">
      <w:pPr>
        <w:pStyle w:val="ListParagraph"/>
        <w:numPr>
          <w:ilvl w:val="0"/>
          <w:numId w:val="11"/>
        </w:numPr>
        <w:spacing w:after="0" w:line="240" w:lineRule="auto"/>
        <w:jc w:val="both"/>
        <w:rPr>
          <w:rFonts w:cstheme="minorHAnsi"/>
          <w:sz w:val="21"/>
          <w:szCs w:val="21"/>
        </w:rPr>
      </w:pPr>
      <w:r w:rsidRPr="007F053F">
        <w:rPr>
          <w:rFonts w:cstheme="minorHAnsi"/>
          <w:sz w:val="21"/>
          <w:szCs w:val="21"/>
        </w:rPr>
        <w:t xml:space="preserve">Being subjected to sexting or cyberbullying correlated negatively with emotional wellbeing, while gaming correlated positively. </w:t>
      </w:r>
    </w:p>
    <w:p w14:paraId="020923E4" w14:textId="77777777" w:rsidR="009E4EF3" w:rsidRPr="007F053F" w:rsidRDefault="009E4EF3" w:rsidP="009E4EF3">
      <w:pPr>
        <w:pStyle w:val="ListParagraph"/>
        <w:numPr>
          <w:ilvl w:val="0"/>
          <w:numId w:val="11"/>
        </w:numPr>
        <w:spacing w:after="0" w:line="240" w:lineRule="auto"/>
        <w:jc w:val="both"/>
        <w:rPr>
          <w:rFonts w:cstheme="minorHAnsi"/>
          <w:sz w:val="21"/>
          <w:szCs w:val="21"/>
        </w:rPr>
      </w:pPr>
      <w:r w:rsidRPr="007F053F">
        <w:rPr>
          <w:rFonts w:cstheme="minorHAnsi"/>
          <w:sz w:val="21"/>
          <w:szCs w:val="21"/>
        </w:rPr>
        <w:t xml:space="preserve">Lack of emotional support and not feeling appreciated correlate negatively with emotional wellbeing. </w:t>
      </w:r>
    </w:p>
    <w:p w14:paraId="33B29023" w14:textId="77777777" w:rsidR="009E4EF3" w:rsidRPr="009E4EF3" w:rsidRDefault="009E4EF3" w:rsidP="009E4EF3">
      <w:pPr>
        <w:spacing w:before="0" w:after="0"/>
        <w:jc w:val="both"/>
        <w:rPr>
          <w:rFonts w:cstheme="minorHAnsi"/>
          <w:color w:val="auto"/>
          <w:sz w:val="21"/>
          <w:szCs w:val="21"/>
        </w:rPr>
      </w:pPr>
    </w:p>
    <w:p w14:paraId="64504BEF" w14:textId="77777777" w:rsidR="009E4EF3" w:rsidRPr="006612E1" w:rsidRDefault="00785748" w:rsidP="009E4EF3">
      <w:pPr>
        <w:spacing w:before="0" w:after="0"/>
        <w:jc w:val="both"/>
        <w:rPr>
          <w:rFonts w:cstheme="minorHAnsi"/>
          <w:b/>
          <w:color w:val="auto"/>
          <w:sz w:val="21"/>
          <w:szCs w:val="21"/>
        </w:rPr>
      </w:pPr>
      <w:r w:rsidRPr="006612E1">
        <w:rPr>
          <w:rFonts w:cstheme="minorHAnsi"/>
          <w:b/>
          <w:color w:val="auto"/>
          <w:sz w:val="21"/>
          <w:szCs w:val="21"/>
        </w:rPr>
        <w:t>Highlights on n</w:t>
      </w:r>
      <w:r w:rsidR="009E4EF3" w:rsidRPr="006612E1">
        <w:rPr>
          <w:rFonts w:cstheme="minorHAnsi"/>
          <w:b/>
          <w:color w:val="auto"/>
          <w:sz w:val="21"/>
          <w:szCs w:val="21"/>
        </w:rPr>
        <w:t>onformal education</w:t>
      </w:r>
    </w:p>
    <w:p w14:paraId="777DE9A9" w14:textId="77777777" w:rsidR="009E4EF3" w:rsidRPr="006612E1" w:rsidRDefault="009E4EF3" w:rsidP="009E4EF3">
      <w:pPr>
        <w:spacing w:before="0" w:after="0"/>
        <w:jc w:val="both"/>
        <w:rPr>
          <w:rFonts w:cstheme="minorHAnsi"/>
          <w:b/>
          <w:color w:val="auto"/>
          <w:sz w:val="21"/>
          <w:szCs w:val="21"/>
        </w:rPr>
      </w:pPr>
    </w:p>
    <w:p w14:paraId="3479F06E" w14:textId="77777777" w:rsidR="009E4EF3" w:rsidRPr="009E4EF3" w:rsidRDefault="009E4EF3" w:rsidP="009E4EF3">
      <w:pPr>
        <w:spacing w:before="0" w:after="0"/>
        <w:jc w:val="both"/>
        <w:rPr>
          <w:rFonts w:cstheme="minorHAnsi"/>
          <w:color w:val="auto"/>
          <w:sz w:val="21"/>
          <w:szCs w:val="21"/>
        </w:rPr>
      </w:pPr>
      <w:r w:rsidRPr="009E4EF3">
        <w:rPr>
          <w:rFonts w:cstheme="minorHAnsi"/>
          <w:color w:val="auto"/>
          <w:sz w:val="21"/>
          <w:szCs w:val="21"/>
        </w:rPr>
        <w:t xml:space="preserve">Nonformal education has seen significant progress and developments in the last 10-15 years, especially through the projects implemented by various nongovernmental organizations and, often, with strong support from the European Commission’s Life Long Learning Programs. </w:t>
      </w:r>
    </w:p>
    <w:p w14:paraId="45098580" w14:textId="77777777" w:rsidR="009E4EF3" w:rsidRPr="009E4EF3" w:rsidRDefault="009E4EF3" w:rsidP="009E4EF3">
      <w:pPr>
        <w:spacing w:before="0" w:after="0"/>
        <w:jc w:val="both"/>
        <w:rPr>
          <w:rFonts w:cstheme="minorHAnsi"/>
          <w:color w:val="auto"/>
          <w:sz w:val="21"/>
          <w:szCs w:val="21"/>
        </w:rPr>
      </w:pPr>
    </w:p>
    <w:p w14:paraId="19535BAA" w14:textId="77777777" w:rsidR="009E4EF3" w:rsidRPr="007F053F" w:rsidRDefault="009E4EF3" w:rsidP="009E4EF3">
      <w:pPr>
        <w:spacing w:before="0" w:after="0"/>
        <w:jc w:val="both"/>
        <w:rPr>
          <w:rFonts w:cstheme="minorHAnsi"/>
          <w:sz w:val="21"/>
          <w:szCs w:val="21"/>
        </w:rPr>
      </w:pPr>
      <w:r w:rsidRPr="009E4EF3">
        <w:rPr>
          <w:rFonts w:cstheme="minorHAnsi"/>
          <w:color w:val="auto"/>
          <w:sz w:val="21"/>
          <w:szCs w:val="21"/>
        </w:rPr>
        <w:t xml:space="preserve">In Cluj, the New-Horizons Foundation is one of the major players in nonformal education </w:t>
      </w:r>
      <w:r w:rsidRPr="007F053F">
        <w:rPr>
          <w:rFonts w:cstheme="minorHAnsi"/>
          <w:sz w:val="21"/>
          <w:szCs w:val="21"/>
        </w:rPr>
        <w:t>(</w:t>
      </w:r>
      <w:hyperlink r:id="rId10" w:history="1">
        <w:r w:rsidRPr="007F053F">
          <w:rPr>
            <w:rStyle w:val="Hyperlink"/>
            <w:rFonts w:cstheme="minorHAnsi"/>
            <w:sz w:val="21"/>
            <w:szCs w:val="21"/>
          </w:rPr>
          <w:t>https://www.noi-orizonturi.ro/en/</w:t>
        </w:r>
      </w:hyperlink>
      <w:r w:rsidRPr="007F053F">
        <w:rPr>
          <w:rFonts w:cstheme="minorHAnsi"/>
          <w:sz w:val="21"/>
          <w:szCs w:val="21"/>
        </w:rPr>
        <w:t xml:space="preserve"> </w:t>
      </w:r>
      <w:r w:rsidRPr="009E4EF3">
        <w:rPr>
          <w:rFonts w:cstheme="minorHAnsi"/>
          <w:color w:val="auto"/>
          <w:sz w:val="21"/>
          <w:szCs w:val="21"/>
        </w:rPr>
        <w:t xml:space="preserve">). The IMPACT clubs are probably their most successful project, focused on the creation of youth groups working on solving real life problems, with a special emphasis on leadership. The program offers seed grants for starting projects. There are more than 600 IMPACT clubs in the world, and, in Romania there are 183 IMPACT clubs that work on community problem solving through youth engagement (https://www.noi-orizonturi.ro/tineri/cluburile-impact/). Another problem focusing on teachers’ needs is Education Architects through which educators are trained to offer tailored solutions to students’ needs, especially centered upon sustainability and the incorporation of practical skills and competences </w:t>
      </w:r>
      <w:r w:rsidRPr="007F053F">
        <w:rPr>
          <w:rFonts w:cstheme="minorHAnsi"/>
          <w:sz w:val="21"/>
          <w:szCs w:val="21"/>
        </w:rPr>
        <w:t>(</w:t>
      </w:r>
      <w:hyperlink r:id="rId11" w:history="1">
        <w:r w:rsidRPr="007F053F">
          <w:rPr>
            <w:rStyle w:val="Hyperlink"/>
            <w:rFonts w:cstheme="minorHAnsi"/>
            <w:sz w:val="21"/>
            <w:szCs w:val="21"/>
          </w:rPr>
          <w:t>https://www.noi-orizonturi.ro/arhitectii-educatiei/</w:t>
        </w:r>
      </w:hyperlink>
      <w:r w:rsidRPr="007F053F">
        <w:rPr>
          <w:rFonts w:cstheme="minorHAnsi"/>
          <w:sz w:val="21"/>
          <w:szCs w:val="21"/>
        </w:rPr>
        <w:t xml:space="preserve"> ). </w:t>
      </w:r>
      <w:r w:rsidRPr="009E4EF3">
        <w:rPr>
          <w:rFonts w:cstheme="minorHAnsi"/>
          <w:color w:val="auto"/>
          <w:sz w:val="21"/>
          <w:szCs w:val="21"/>
        </w:rPr>
        <w:t xml:space="preserve">Community schools is a project that creates better schools by bringing together all important community partners/stakeholders, aiming to improve educational performance and students’ connection with the communities they live in </w:t>
      </w:r>
      <w:r w:rsidRPr="007F053F">
        <w:rPr>
          <w:rFonts w:cstheme="minorHAnsi"/>
          <w:sz w:val="21"/>
          <w:szCs w:val="21"/>
        </w:rPr>
        <w:t>(</w:t>
      </w:r>
      <w:hyperlink r:id="rId12" w:history="1">
        <w:r w:rsidRPr="007F053F">
          <w:rPr>
            <w:rStyle w:val="Hyperlink"/>
            <w:rFonts w:cstheme="minorHAnsi"/>
            <w:sz w:val="21"/>
            <w:szCs w:val="21"/>
          </w:rPr>
          <w:t>https://www.noi-orizonturi.ro/profesori/scoli-comunitare/scoli-conectate-la-comunitate/</w:t>
        </w:r>
      </w:hyperlink>
      <w:r w:rsidRPr="007F053F">
        <w:rPr>
          <w:rFonts w:cstheme="minorHAnsi"/>
          <w:sz w:val="21"/>
          <w:szCs w:val="21"/>
        </w:rPr>
        <w:t xml:space="preserve"> </w:t>
      </w:r>
      <w:r w:rsidRPr="009E4EF3">
        <w:rPr>
          <w:rFonts w:cstheme="minorHAnsi"/>
          <w:color w:val="auto"/>
          <w:sz w:val="21"/>
          <w:szCs w:val="21"/>
        </w:rPr>
        <w:t xml:space="preserve">). The LIFE summer camp has been constantly organized for the last 20 years, and more than 10,000 young people participated in intensive training programs aiming to create personal development through adventure </w:t>
      </w:r>
      <w:r w:rsidRPr="007F053F">
        <w:rPr>
          <w:rFonts w:cstheme="minorHAnsi"/>
          <w:sz w:val="21"/>
          <w:szCs w:val="21"/>
        </w:rPr>
        <w:t>(</w:t>
      </w:r>
      <w:hyperlink r:id="rId13" w:history="1">
        <w:r w:rsidRPr="007F053F">
          <w:rPr>
            <w:rStyle w:val="Hyperlink"/>
            <w:rFonts w:cstheme="minorHAnsi"/>
            <w:sz w:val="21"/>
            <w:szCs w:val="21"/>
          </w:rPr>
          <w:t>https://www.noi-orizonturi.ro/tineri/tabara-viata/</w:t>
        </w:r>
      </w:hyperlink>
      <w:r w:rsidRPr="009E4EF3">
        <w:rPr>
          <w:rFonts w:cstheme="minorHAnsi"/>
          <w:color w:val="auto"/>
          <w:sz w:val="21"/>
          <w:szCs w:val="21"/>
        </w:rPr>
        <w:t xml:space="preserve">). The New Horizons organization has also implemented a EEA funded project – Nonformal education. It is education </w:t>
      </w:r>
      <w:r w:rsidRPr="007F053F">
        <w:rPr>
          <w:rFonts w:cstheme="minorHAnsi"/>
          <w:sz w:val="21"/>
          <w:szCs w:val="21"/>
        </w:rPr>
        <w:t xml:space="preserve">– </w:t>
      </w:r>
      <w:r w:rsidRPr="009E4EF3">
        <w:rPr>
          <w:rFonts w:cstheme="minorHAnsi"/>
          <w:color w:val="auto"/>
          <w:sz w:val="21"/>
          <w:szCs w:val="21"/>
        </w:rPr>
        <w:t xml:space="preserve">through which they aim to raise the profile of nonformal education within the Romanian traditional educational system </w:t>
      </w:r>
      <w:r w:rsidRPr="007F053F">
        <w:rPr>
          <w:rFonts w:cstheme="minorHAnsi"/>
          <w:sz w:val="21"/>
          <w:szCs w:val="21"/>
        </w:rPr>
        <w:t>(</w:t>
      </w:r>
      <w:hyperlink r:id="rId14" w:history="1">
        <w:r w:rsidRPr="007F053F">
          <w:rPr>
            <w:rStyle w:val="Hyperlink"/>
            <w:rFonts w:cstheme="minorHAnsi"/>
            <w:sz w:val="21"/>
            <w:szCs w:val="21"/>
          </w:rPr>
          <w:t>https://www.noi-orizonturi.ro/portofoliu/incheiate/educatia-nonformala-tot-educatie/</w:t>
        </w:r>
      </w:hyperlink>
      <w:r w:rsidRPr="007F053F">
        <w:rPr>
          <w:rFonts w:cstheme="minorHAnsi"/>
          <w:sz w:val="21"/>
          <w:szCs w:val="21"/>
        </w:rPr>
        <w:t xml:space="preserve">). </w:t>
      </w:r>
    </w:p>
    <w:p w14:paraId="2DF04C45" w14:textId="77777777" w:rsidR="009E4EF3" w:rsidRPr="007F053F" w:rsidRDefault="009E4EF3" w:rsidP="009E4EF3">
      <w:pPr>
        <w:spacing w:before="0" w:after="0"/>
        <w:jc w:val="both"/>
        <w:rPr>
          <w:rFonts w:cstheme="minorHAnsi"/>
          <w:sz w:val="21"/>
          <w:szCs w:val="21"/>
        </w:rPr>
      </w:pPr>
    </w:p>
    <w:p w14:paraId="76AABFCA" w14:textId="77777777" w:rsidR="009E4EF3" w:rsidRPr="007F053F" w:rsidRDefault="009E4EF3" w:rsidP="009E4EF3">
      <w:pPr>
        <w:spacing w:before="0" w:after="0"/>
        <w:jc w:val="both"/>
        <w:rPr>
          <w:rFonts w:cstheme="minorHAnsi"/>
          <w:sz w:val="21"/>
          <w:szCs w:val="21"/>
        </w:rPr>
      </w:pPr>
      <w:r w:rsidRPr="009E4EF3">
        <w:rPr>
          <w:rFonts w:cstheme="minorHAnsi"/>
          <w:color w:val="auto"/>
          <w:sz w:val="21"/>
          <w:szCs w:val="21"/>
        </w:rPr>
        <w:t xml:space="preserve">“Go Free – the Association for the Support of Civil Society” is another major player offering projects to young people in Cluj, by especially focusing on youth socialization within democratic contexts; as such they have been involved in nonformal education programs as well, and they pay special attention to minority integration and reducing inequality and discrimination (Roma, LGBTQ, etc.) </w:t>
      </w:r>
      <w:r w:rsidRPr="007F053F">
        <w:rPr>
          <w:rFonts w:cstheme="minorHAnsi"/>
          <w:sz w:val="21"/>
          <w:szCs w:val="21"/>
        </w:rPr>
        <w:t>(</w:t>
      </w:r>
      <w:hyperlink r:id="rId15" w:history="1">
        <w:r w:rsidRPr="007F053F">
          <w:rPr>
            <w:rStyle w:val="Hyperlink"/>
            <w:rFonts w:cstheme="minorHAnsi"/>
            <w:sz w:val="21"/>
            <w:szCs w:val="21"/>
          </w:rPr>
          <w:t>http://www.gofree.ro/asociatia-go-free/</w:t>
        </w:r>
      </w:hyperlink>
      <w:r w:rsidRPr="007F053F">
        <w:rPr>
          <w:rFonts w:cstheme="minorHAnsi"/>
          <w:sz w:val="21"/>
          <w:szCs w:val="21"/>
        </w:rPr>
        <w:t xml:space="preserve"> </w:t>
      </w:r>
      <w:r w:rsidRPr="0021099B">
        <w:rPr>
          <w:rFonts w:cstheme="minorHAnsi"/>
          <w:color w:val="auto"/>
          <w:sz w:val="21"/>
          <w:szCs w:val="21"/>
        </w:rPr>
        <w:t xml:space="preserve">). </w:t>
      </w:r>
    </w:p>
    <w:p w14:paraId="0F8CA897" w14:textId="77777777" w:rsidR="009E4EF3" w:rsidRPr="009E4EF3" w:rsidRDefault="009E4EF3" w:rsidP="009E4EF3">
      <w:pPr>
        <w:spacing w:before="0" w:after="0"/>
      </w:pPr>
    </w:p>
    <w:p w14:paraId="222C543E" w14:textId="77777777" w:rsidR="009E4EF3" w:rsidRPr="009E4EF3" w:rsidRDefault="009E4EF3" w:rsidP="009E4EF3">
      <w:pPr>
        <w:pStyle w:val="ListParagraph"/>
        <w:spacing w:after="0" w:line="240" w:lineRule="auto"/>
        <w:ind w:left="502"/>
        <w:rPr>
          <w:lang w:val="ro-RO"/>
        </w:rPr>
      </w:pPr>
    </w:p>
    <w:p w14:paraId="19A88885" w14:textId="77777777" w:rsidR="009E4EF3" w:rsidRPr="009E4EF3" w:rsidRDefault="009E4EF3" w:rsidP="009E4EF3">
      <w:pPr>
        <w:tabs>
          <w:tab w:val="left" w:pos="4055"/>
        </w:tabs>
        <w:spacing w:before="0" w:after="0"/>
        <w:jc w:val="both"/>
        <w:rPr>
          <w:rFonts w:cstheme="minorHAnsi"/>
          <w:b/>
          <w:color w:val="auto"/>
          <w:sz w:val="21"/>
          <w:szCs w:val="21"/>
          <w:u w:val="single"/>
        </w:rPr>
      </w:pPr>
      <w:r w:rsidRPr="009E4EF3">
        <w:rPr>
          <w:rFonts w:cstheme="minorHAnsi"/>
          <w:b/>
          <w:color w:val="auto"/>
          <w:sz w:val="21"/>
          <w:szCs w:val="21"/>
          <w:u w:val="single"/>
        </w:rPr>
        <w:lastRenderedPageBreak/>
        <w:t>SOURCES</w:t>
      </w:r>
    </w:p>
    <w:p w14:paraId="718A206B" w14:textId="77777777" w:rsidR="009E4EF3" w:rsidRPr="009E4EF3" w:rsidRDefault="009E4EF3" w:rsidP="009E4EF3">
      <w:pPr>
        <w:tabs>
          <w:tab w:val="left" w:pos="4055"/>
        </w:tabs>
        <w:spacing w:before="0" w:after="0"/>
        <w:jc w:val="both"/>
        <w:rPr>
          <w:rFonts w:cstheme="minorHAnsi"/>
          <w:b/>
          <w:color w:val="auto"/>
          <w:sz w:val="21"/>
          <w:szCs w:val="21"/>
          <w:u w:val="single"/>
        </w:rPr>
      </w:pPr>
    </w:p>
    <w:p w14:paraId="5B0A9B5C" w14:textId="77777777" w:rsidR="009E4EF3" w:rsidRPr="009E4EF3" w:rsidRDefault="009E4EF3" w:rsidP="009E4EF3">
      <w:pPr>
        <w:spacing w:before="0" w:after="0"/>
        <w:jc w:val="both"/>
        <w:rPr>
          <w:rFonts w:cstheme="minorHAnsi"/>
          <w:color w:val="auto"/>
          <w:sz w:val="21"/>
          <w:szCs w:val="21"/>
        </w:rPr>
      </w:pPr>
      <w:proofErr w:type="spellStart"/>
      <w:r w:rsidRPr="009E4EF3">
        <w:rPr>
          <w:rFonts w:cstheme="minorHAnsi"/>
          <w:color w:val="auto"/>
          <w:sz w:val="21"/>
          <w:szCs w:val="21"/>
        </w:rPr>
        <w:t>Badescu</w:t>
      </w:r>
      <w:proofErr w:type="spellEnd"/>
      <w:r w:rsidRPr="009E4EF3">
        <w:rPr>
          <w:rFonts w:cstheme="minorHAnsi"/>
          <w:color w:val="auto"/>
          <w:sz w:val="21"/>
          <w:szCs w:val="21"/>
        </w:rPr>
        <w:t xml:space="preserve">, G., Ivan, C., Angi, D., </w:t>
      </w:r>
      <w:proofErr w:type="spellStart"/>
      <w:r w:rsidRPr="009E4EF3">
        <w:rPr>
          <w:rFonts w:cstheme="minorHAnsi"/>
          <w:color w:val="auto"/>
          <w:sz w:val="21"/>
          <w:szCs w:val="21"/>
        </w:rPr>
        <w:t>Negru-Subtirica</w:t>
      </w:r>
      <w:proofErr w:type="spellEnd"/>
      <w:r w:rsidRPr="009E4EF3">
        <w:rPr>
          <w:rFonts w:cstheme="minorHAnsi"/>
          <w:color w:val="auto"/>
          <w:sz w:val="21"/>
          <w:szCs w:val="21"/>
        </w:rPr>
        <w:t xml:space="preserve">, O. </w:t>
      </w:r>
      <w:r w:rsidR="006D26FE">
        <w:rPr>
          <w:rFonts w:cstheme="minorHAnsi"/>
          <w:color w:val="auto"/>
          <w:sz w:val="21"/>
          <w:szCs w:val="21"/>
        </w:rPr>
        <w:t>(</w:t>
      </w:r>
      <w:r w:rsidRPr="009E4EF3">
        <w:rPr>
          <w:rFonts w:cstheme="minorHAnsi"/>
          <w:color w:val="auto"/>
          <w:sz w:val="21"/>
          <w:szCs w:val="21"/>
        </w:rPr>
        <w:t>2018</w:t>
      </w:r>
      <w:r w:rsidR="006D26FE">
        <w:rPr>
          <w:rFonts w:cstheme="minorHAnsi"/>
          <w:color w:val="auto"/>
          <w:sz w:val="21"/>
          <w:szCs w:val="21"/>
        </w:rPr>
        <w:t>)</w:t>
      </w:r>
      <w:r w:rsidRPr="009E4EF3">
        <w:rPr>
          <w:rFonts w:cstheme="minorHAnsi"/>
          <w:color w:val="auto"/>
          <w:sz w:val="21"/>
          <w:szCs w:val="21"/>
        </w:rPr>
        <w:t>. “</w:t>
      </w:r>
      <w:proofErr w:type="spellStart"/>
      <w:r w:rsidRPr="009E4EF3">
        <w:rPr>
          <w:rFonts w:cstheme="minorHAnsi"/>
          <w:color w:val="auto"/>
          <w:sz w:val="21"/>
          <w:szCs w:val="21"/>
        </w:rPr>
        <w:t>Educatie</w:t>
      </w:r>
      <w:proofErr w:type="spellEnd"/>
      <w:r w:rsidRPr="009E4EF3">
        <w:rPr>
          <w:rFonts w:cstheme="minorHAnsi"/>
          <w:color w:val="auto"/>
          <w:sz w:val="21"/>
          <w:szCs w:val="21"/>
        </w:rPr>
        <w:t xml:space="preserve"> </w:t>
      </w:r>
      <w:proofErr w:type="spellStart"/>
      <w:r w:rsidRPr="009E4EF3">
        <w:rPr>
          <w:rFonts w:cstheme="minorHAnsi"/>
          <w:color w:val="auto"/>
          <w:sz w:val="21"/>
          <w:szCs w:val="21"/>
        </w:rPr>
        <w:t>pentru</w:t>
      </w:r>
      <w:proofErr w:type="spellEnd"/>
      <w:r w:rsidRPr="009E4EF3">
        <w:rPr>
          <w:rFonts w:cstheme="minorHAnsi"/>
          <w:color w:val="auto"/>
          <w:sz w:val="21"/>
          <w:szCs w:val="21"/>
        </w:rPr>
        <w:t xml:space="preserve"> </w:t>
      </w:r>
      <w:proofErr w:type="spellStart"/>
      <w:r w:rsidRPr="009E4EF3">
        <w:rPr>
          <w:rFonts w:cstheme="minorHAnsi"/>
          <w:color w:val="auto"/>
          <w:sz w:val="21"/>
          <w:szCs w:val="21"/>
        </w:rPr>
        <w:t>democratie</w:t>
      </w:r>
      <w:proofErr w:type="spellEnd"/>
      <w:r w:rsidRPr="009E4EF3">
        <w:rPr>
          <w:rFonts w:cstheme="minorHAnsi"/>
          <w:color w:val="auto"/>
          <w:sz w:val="21"/>
          <w:szCs w:val="21"/>
        </w:rPr>
        <w:t xml:space="preserve"> in </w:t>
      </w:r>
      <w:proofErr w:type="spellStart"/>
      <w:r w:rsidRPr="009E4EF3">
        <w:rPr>
          <w:rFonts w:cstheme="minorHAnsi"/>
          <w:color w:val="auto"/>
          <w:sz w:val="21"/>
          <w:szCs w:val="21"/>
        </w:rPr>
        <w:t>scolile</w:t>
      </w:r>
      <w:proofErr w:type="spellEnd"/>
      <w:r w:rsidRPr="009E4EF3">
        <w:rPr>
          <w:rFonts w:cstheme="minorHAnsi"/>
          <w:color w:val="auto"/>
          <w:sz w:val="21"/>
          <w:szCs w:val="21"/>
        </w:rPr>
        <w:t xml:space="preserve"> din Romania”, Friedrich Ebert Stiftung, </w:t>
      </w:r>
      <w:proofErr w:type="spellStart"/>
      <w:r w:rsidRPr="009E4EF3">
        <w:rPr>
          <w:rFonts w:cstheme="minorHAnsi"/>
          <w:color w:val="auto"/>
          <w:sz w:val="21"/>
          <w:szCs w:val="21"/>
        </w:rPr>
        <w:t>Bucuresti</w:t>
      </w:r>
      <w:proofErr w:type="spellEnd"/>
      <w:r w:rsidRPr="009E4EF3">
        <w:rPr>
          <w:rFonts w:cstheme="minorHAnsi"/>
          <w:color w:val="auto"/>
          <w:sz w:val="21"/>
          <w:szCs w:val="21"/>
        </w:rPr>
        <w:t xml:space="preserve">. </w:t>
      </w:r>
    </w:p>
    <w:p w14:paraId="40F7073E" w14:textId="77777777" w:rsidR="009E4EF3" w:rsidRPr="009E4EF3" w:rsidRDefault="009E4EF3" w:rsidP="009E4EF3">
      <w:pPr>
        <w:spacing w:before="0" w:after="0"/>
        <w:jc w:val="both"/>
        <w:rPr>
          <w:rFonts w:cstheme="minorHAnsi"/>
          <w:color w:val="auto"/>
          <w:sz w:val="21"/>
          <w:szCs w:val="21"/>
        </w:rPr>
      </w:pPr>
    </w:p>
    <w:p w14:paraId="5FDDA1CC" w14:textId="77777777" w:rsidR="009E4EF3" w:rsidRPr="009E4EF3" w:rsidRDefault="009E4EF3" w:rsidP="009E4EF3">
      <w:pPr>
        <w:tabs>
          <w:tab w:val="left" w:pos="4055"/>
        </w:tabs>
        <w:spacing w:before="0" w:after="0"/>
        <w:jc w:val="both"/>
        <w:rPr>
          <w:rFonts w:cstheme="minorHAnsi"/>
          <w:color w:val="auto"/>
          <w:sz w:val="21"/>
          <w:szCs w:val="21"/>
        </w:rPr>
      </w:pPr>
      <w:proofErr w:type="spellStart"/>
      <w:r w:rsidRPr="009E4EF3">
        <w:rPr>
          <w:rFonts w:cstheme="minorHAnsi"/>
          <w:color w:val="auto"/>
          <w:sz w:val="21"/>
          <w:szCs w:val="21"/>
        </w:rPr>
        <w:t>Badescu</w:t>
      </w:r>
      <w:proofErr w:type="spellEnd"/>
      <w:r w:rsidRPr="009E4EF3">
        <w:rPr>
          <w:rFonts w:cstheme="minorHAnsi"/>
          <w:color w:val="auto"/>
          <w:sz w:val="21"/>
          <w:szCs w:val="21"/>
        </w:rPr>
        <w:t xml:space="preserve">, G., </w:t>
      </w:r>
      <w:proofErr w:type="spellStart"/>
      <w:r w:rsidRPr="009E4EF3">
        <w:rPr>
          <w:rFonts w:cstheme="minorHAnsi"/>
          <w:color w:val="auto"/>
          <w:sz w:val="21"/>
          <w:szCs w:val="21"/>
        </w:rPr>
        <w:t>Sandu</w:t>
      </w:r>
      <w:proofErr w:type="spellEnd"/>
      <w:r w:rsidRPr="009E4EF3">
        <w:rPr>
          <w:rFonts w:cstheme="minorHAnsi"/>
          <w:color w:val="auto"/>
          <w:sz w:val="21"/>
          <w:szCs w:val="21"/>
        </w:rPr>
        <w:t xml:space="preserve">, D., Angi, D., </w:t>
      </w:r>
      <w:proofErr w:type="spellStart"/>
      <w:r w:rsidRPr="009E4EF3">
        <w:rPr>
          <w:rFonts w:cstheme="minorHAnsi"/>
          <w:color w:val="auto"/>
          <w:sz w:val="21"/>
          <w:szCs w:val="21"/>
        </w:rPr>
        <w:t>Greab</w:t>
      </w:r>
      <w:proofErr w:type="spellEnd"/>
      <w:r w:rsidRPr="009E4EF3">
        <w:rPr>
          <w:rFonts w:cstheme="minorHAnsi"/>
          <w:color w:val="auto"/>
          <w:sz w:val="21"/>
          <w:szCs w:val="21"/>
        </w:rPr>
        <w:t xml:space="preserve">. C. (2019) </w:t>
      </w:r>
      <w:r w:rsidRPr="009E4EF3">
        <w:rPr>
          <w:rFonts w:cstheme="minorHAnsi"/>
          <w:i/>
          <w:color w:val="auto"/>
          <w:sz w:val="21"/>
          <w:szCs w:val="21"/>
        </w:rPr>
        <w:t>Youth Study Romania. 2018/2019</w:t>
      </w:r>
      <w:r w:rsidRPr="009E4EF3">
        <w:rPr>
          <w:rFonts w:cstheme="minorHAnsi"/>
          <w:color w:val="auto"/>
          <w:sz w:val="21"/>
          <w:szCs w:val="21"/>
        </w:rPr>
        <w:t xml:space="preserve">. Friedrich Ebert Stiftung, </w:t>
      </w:r>
      <w:proofErr w:type="spellStart"/>
      <w:r w:rsidRPr="009E4EF3">
        <w:rPr>
          <w:rFonts w:cstheme="minorHAnsi"/>
          <w:color w:val="auto"/>
          <w:sz w:val="21"/>
          <w:szCs w:val="21"/>
        </w:rPr>
        <w:t>Bucuresti</w:t>
      </w:r>
      <w:proofErr w:type="spellEnd"/>
      <w:r w:rsidRPr="009E4EF3">
        <w:rPr>
          <w:rFonts w:cstheme="minorHAnsi"/>
          <w:color w:val="auto"/>
          <w:sz w:val="21"/>
          <w:szCs w:val="21"/>
        </w:rPr>
        <w:t xml:space="preserve">. </w:t>
      </w:r>
    </w:p>
    <w:p w14:paraId="54950BDD" w14:textId="77777777" w:rsidR="009E4EF3" w:rsidRPr="009E4EF3" w:rsidRDefault="009E4EF3" w:rsidP="009E4EF3">
      <w:pPr>
        <w:tabs>
          <w:tab w:val="left" w:pos="4055"/>
        </w:tabs>
        <w:spacing w:before="0" w:after="0"/>
        <w:jc w:val="both"/>
        <w:rPr>
          <w:rFonts w:cstheme="minorHAnsi"/>
          <w:color w:val="auto"/>
          <w:sz w:val="21"/>
          <w:szCs w:val="21"/>
        </w:rPr>
      </w:pPr>
    </w:p>
    <w:p w14:paraId="74F507AE" w14:textId="77777777" w:rsidR="009E4EF3" w:rsidRPr="009E4EF3" w:rsidRDefault="009E4EF3" w:rsidP="009E4EF3">
      <w:pPr>
        <w:spacing w:before="0" w:after="0"/>
        <w:jc w:val="both"/>
        <w:rPr>
          <w:rFonts w:cstheme="minorHAnsi"/>
          <w:color w:val="auto"/>
          <w:sz w:val="21"/>
          <w:szCs w:val="21"/>
        </w:rPr>
      </w:pPr>
      <w:r w:rsidRPr="009E4EF3">
        <w:rPr>
          <w:rFonts w:cstheme="minorHAnsi"/>
          <w:color w:val="auto"/>
          <w:sz w:val="21"/>
          <w:szCs w:val="21"/>
        </w:rPr>
        <w:t xml:space="preserve">European Union. (2019). </w:t>
      </w:r>
      <w:r w:rsidRPr="009E4EF3">
        <w:rPr>
          <w:rFonts w:cstheme="minorHAnsi"/>
          <w:i/>
          <w:color w:val="auto"/>
          <w:sz w:val="21"/>
          <w:szCs w:val="21"/>
        </w:rPr>
        <w:t>Education and Training Monitor 2019. Volume 1.</w:t>
      </w:r>
      <w:r w:rsidRPr="009E4EF3">
        <w:rPr>
          <w:rFonts w:cstheme="minorHAnsi"/>
          <w:color w:val="auto"/>
          <w:sz w:val="21"/>
          <w:szCs w:val="21"/>
        </w:rPr>
        <w:t xml:space="preserve"> Luxembourg: Publications Office of the European Union.</w:t>
      </w:r>
    </w:p>
    <w:p w14:paraId="77349BB6" w14:textId="77777777" w:rsidR="009E4EF3" w:rsidRPr="009E4EF3" w:rsidRDefault="009E4EF3" w:rsidP="009E4EF3">
      <w:pPr>
        <w:spacing w:before="0" w:after="0"/>
        <w:jc w:val="both"/>
        <w:rPr>
          <w:rFonts w:cstheme="minorHAnsi"/>
          <w:color w:val="auto"/>
          <w:sz w:val="21"/>
          <w:szCs w:val="21"/>
        </w:rPr>
      </w:pPr>
    </w:p>
    <w:p w14:paraId="38469EE9" w14:textId="77777777" w:rsidR="009E4EF3" w:rsidRPr="009E4EF3" w:rsidRDefault="009E4EF3" w:rsidP="009E4EF3">
      <w:pPr>
        <w:pStyle w:val="ListParagraph"/>
        <w:tabs>
          <w:tab w:val="left" w:pos="4055"/>
        </w:tabs>
        <w:spacing w:after="0" w:line="240" w:lineRule="auto"/>
        <w:ind w:left="0"/>
        <w:jc w:val="both"/>
        <w:rPr>
          <w:rFonts w:cstheme="minorHAnsi"/>
          <w:sz w:val="21"/>
          <w:szCs w:val="21"/>
        </w:rPr>
      </w:pPr>
      <w:proofErr w:type="spellStart"/>
      <w:r w:rsidRPr="009E4EF3">
        <w:rPr>
          <w:rFonts w:cstheme="minorHAnsi"/>
          <w:sz w:val="21"/>
          <w:szCs w:val="21"/>
        </w:rPr>
        <w:t>Fartusnic</w:t>
      </w:r>
      <w:proofErr w:type="spellEnd"/>
      <w:r w:rsidRPr="009E4EF3">
        <w:rPr>
          <w:rFonts w:cstheme="minorHAnsi"/>
          <w:sz w:val="21"/>
          <w:szCs w:val="21"/>
        </w:rPr>
        <w:t xml:space="preserve">, C., Florian, B., </w:t>
      </w:r>
      <w:proofErr w:type="spellStart"/>
      <w:r w:rsidRPr="009E4EF3">
        <w:rPr>
          <w:rFonts w:cstheme="minorHAnsi"/>
          <w:sz w:val="21"/>
          <w:szCs w:val="21"/>
        </w:rPr>
        <w:t>Iosifescu</w:t>
      </w:r>
      <w:proofErr w:type="spellEnd"/>
      <w:r w:rsidRPr="009E4EF3">
        <w:rPr>
          <w:rFonts w:cstheme="minorHAnsi"/>
          <w:sz w:val="21"/>
          <w:szCs w:val="21"/>
        </w:rPr>
        <w:t xml:space="preserve">, S., </w:t>
      </w:r>
      <w:proofErr w:type="spellStart"/>
      <w:r w:rsidRPr="009E4EF3">
        <w:rPr>
          <w:rFonts w:cstheme="minorHAnsi"/>
          <w:sz w:val="21"/>
          <w:szCs w:val="21"/>
        </w:rPr>
        <w:t>Mantaluta</w:t>
      </w:r>
      <w:proofErr w:type="spellEnd"/>
      <w:r w:rsidRPr="009E4EF3">
        <w:rPr>
          <w:rFonts w:cstheme="minorHAnsi"/>
          <w:sz w:val="21"/>
          <w:szCs w:val="21"/>
        </w:rPr>
        <w:t>, O. (2014)</w:t>
      </w:r>
      <w:r w:rsidR="006D26FE">
        <w:rPr>
          <w:rFonts w:cstheme="minorHAnsi"/>
          <w:sz w:val="21"/>
          <w:szCs w:val="21"/>
        </w:rPr>
        <w:t>.</w:t>
      </w:r>
      <w:r w:rsidRPr="009E4EF3">
        <w:rPr>
          <w:rFonts w:cstheme="minorHAnsi"/>
          <w:sz w:val="21"/>
          <w:szCs w:val="21"/>
        </w:rPr>
        <w:t xml:space="preserve"> </w:t>
      </w:r>
      <w:proofErr w:type="spellStart"/>
      <w:r w:rsidRPr="009E4EF3">
        <w:rPr>
          <w:rFonts w:cstheme="minorHAnsi"/>
          <w:i/>
          <w:sz w:val="21"/>
          <w:szCs w:val="21"/>
        </w:rPr>
        <w:t>Finantarea</w:t>
      </w:r>
      <w:proofErr w:type="spellEnd"/>
      <w:r w:rsidRPr="009E4EF3">
        <w:rPr>
          <w:rFonts w:cstheme="minorHAnsi"/>
          <w:i/>
          <w:sz w:val="21"/>
          <w:szCs w:val="21"/>
        </w:rPr>
        <w:t xml:space="preserve"> </w:t>
      </w:r>
      <w:proofErr w:type="spellStart"/>
      <w:r w:rsidRPr="009E4EF3">
        <w:rPr>
          <w:rFonts w:cstheme="minorHAnsi"/>
          <w:i/>
          <w:sz w:val="21"/>
          <w:szCs w:val="21"/>
        </w:rPr>
        <w:t>sistemului</w:t>
      </w:r>
      <w:proofErr w:type="spellEnd"/>
      <w:r w:rsidRPr="009E4EF3">
        <w:rPr>
          <w:rFonts w:cstheme="minorHAnsi"/>
          <w:i/>
          <w:sz w:val="21"/>
          <w:szCs w:val="21"/>
        </w:rPr>
        <w:t xml:space="preserve"> de </w:t>
      </w:r>
      <w:proofErr w:type="spellStart"/>
      <w:r w:rsidRPr="009E4EF3">
        <w:rPr>
          <w:rFonts w:cstheme="minorHAnsi"/>
          <w:i/>
          <w:sz w:val="21"/>
          <w:szCs w:val="21"/>
        </w:rPr>
        <w:t>invatamant</w:t>
      </w:r>
      <w:proofErr w:type="spellEnd"/>
      <w:r w:rsidRPr="009E4EF3">
        <w:rPr>
          <w:rFonts w:cstheme="minorHAnsi"/>
          <w:i/>
          <w:sz w:val="21"/>
          <w:szCs w:val="21"/>
        </w:rPr>
        <w:t xml:space="preserve"> pre-</w:t>
      </w:r>
      <w:proofErr w:type="spellStart"/>
      <w:r w:rsidRPr="009E4EF3">
        <w:rPr>
          <w:rFonts w:cstheme="minorHAnsi"/>
          <w:i/>
          <w:sz w:val="21"/>
          <w:szCs w:val="21"/>
        </w:rPr>
        <w:t>universitar</w:t>
      </w:r>
      <w:proofErr w:type="spellEnd"/>
      <w:r w:rsidRPr="009E4EF3">
        <w:rPr>
          <w:rFonts w:cstheme="minorHAnsi"/>
          <w:i/>
          <w:sz w:val="21"/>
          <w:szCs w:val="21"/>
        </w:rPr>
        <w:t xml:space="preserve"> pe </w:t>
      </w:r>
      <w:proofErr w:type="spellStart"/>
      <w:r w:rsidRPr="009E4EF3">
        <w:rPr>
          <w:rFonts w:cstheme="minorHAnsi"/>
          <w:i/>
          <w:sz w:val="21"/>
          <w:szCs w:val="21"/>
        </w:rPr>
        <w:t>baza</w:t>
      </w:r>
      <w:proofErr w:type="spellEnd"/>
      <w:r w:rsidRPr="009E4EF3">
        <w:rPr>
          <w:rFonts w:cstheme="minorHAnsi"/>
          <w:i/>
          <w:sz w:val="21"/>
          <w:szCs w:val="21"/>
        </w:rPr>
        <w:t xml:space="preserve"> </w:t>
      </w:r>
      <w:proofErr w:type="spellStart"/>
      <w:r w:rsidRPr="009E4EF3">
        <w:rPr>
          <w:rFonts w:cstheme="minorHAnsi"/>
          <w:i/>
          <w:sz w:val="21"/>
          <w:szCs w:val="21"/>
        </w:rPr>
        <w:t>standardelor</w:t>
      </w:r>
      <w:proofErr w:type="spellEnd"/>
      <w:r w:rsidRPr="009E4EF3">
        <w:rPr>
          <w:rFonts w:cstheme="minorHAnsi"/>
          <w:i/>
          <w:sz w:val="21"/>
          <w:szCs w:val="21"/>
        </w:rPr>
        <w:t xml:space="preserve"> de cost: o </w:t>
      </w:r>
      <w:proofErr w:type="spellStart"/>
      <w:r w:rsidRPr="009E4EF3">
        <w:rPr>
          <w:rFonts w:cstheme="minorHAnsi"/>
          <w:i/>
          <w:sz w:val="21"/>
          <w:szCs w:val="21"/>
        </w:rPr>
        <w:t>evaluare</w:t>
      </w:r>
      <w:proofErr w:type="spellEnd"/>
      <w:r w:rsidRPr="009E4EF3">
        <w:rPr>
          <w:rFonts w:cstheme="minorHAnsi"/>
          <w:i/>
          <w:sz w:val="21"/>
          <w:szCs w:val="21"/>
        </w:rPr>
        <w:t xml:space="preserve"> </w:t>
      </w:r>
      <w:proofErr w:type="spellStart"/>
      <w:r w:rsidRPr="009E4EF3">
        <w:rPr>
          <w:rFonts w:cstheme="minorHAnsi"/>
          <w:i/>
          <w:sz w:val="21"/>
          <w:szCs w:val="21"/>
        </w:rPr>
        <w:t>curenta</w:t>
      </w:r>
      <w:proofErr w:type="spellEnd"/>
      <w:r w:rsidRPr="009E4EF3">
        <w:rPr>
          <w:rFonts w:cstheme="minorHAnsi"/>
          <w:i/>
          <w:sz w:val="21"/>
          <w:szCs w:val="21"/>
        </w:rPr>
        <w:t xml:space="preserve"> din </w:t>
      </w:r>
      <w:proofErr w:type="spellStart"/>
      <w:r w:rsidRPr="009E4EF3">
        <w:rPr>
          <w:rFonts w:cstheme="minorHAnsi"/>
          <w:i/>
          <w:sz w:val="21"/>
          <w:szCs w:val="21"/>
        </w:rPr>
        <w:t>perspectiva</w:t>
      </w:r>
      <w:proofErr w:type="spellEnd"/>
      <w:r w:rsidRPr="009E4EF3">
        <w:rPr>
          <w:rFonts w:cstheme="minorHAnsi"/>
          <w:i/>
          <w:sz w:val="21"/>
          <w:szCs w:val="21"/>
        </w:rPr>
        <w:t xml:space="preserve"> </w:t>
      </w:r>
      <w:proofErr w:type="spellStart"/>
      <w:r w:rsidRPr="009E4EF3">
        <w:rPr>
          <w:rFonts w:cstheme="minorHAnsi"/>
          <w:i/>
          <w:sz w:val="21"/>
          <w:szCs w:val="21"/>
        </w:rPr>
        <w:t>echitatii</w:t>
      </w:r>
      <w:proofErr w:type="spellEnd"/>
      <w:r w:rsidR="0021099B">
        <w:rPr>
          <w:rFonts w:cstheme="minorHAnsi"/>
          <w:sz w:val="21"/>
          <w:szCs w:val="21"/>
        </w:rPr>
        <w:t xml:space="preserve">, </w:t>
      </w:r>
      <w:proofErr w:type="spellStart"/>
      <w:r w:rsidRPr="009E4EF3">
        <w:rPr>
          <w:rFonts w:cstheme="minorHAnsi"/>
          <w:sz w:val="21"/>
          <w:szCs w:val="21"/>
        </w:rPr>
        <w:t>Bucuresti</w:t>
      </w:r>
      <w:proofErr w:type="spellEnd"/>
      <w:r w:rsidRPr="009E4EF3">
        <w:rPr>
          <w:rFonts w:cstheme="minorHAnsi"/>
          <w:sz w:val="21"/>
          <w:szCs w:val="21"/>
        </w:rPr>
        <w:t xml:space="preserve">: </w:t>
      </w:r>
      <w:proofErr w:type="spellStart"/>
      <w:r w:rsidRPr="009E4EF3">
        <w:rPr>
          <w:rFonts w:cstheme="minorHAnsi"/>
          <w:sz w:val="21"/>
          <w:szCs w:val="21"/>
        </w:rPr>
        <w:t>Vanemonde</w:t>
      </w:r>
      <w:proofErr w:type="spellEnd"/>
      <w:r w:rsidRPr="009E4EF3">
        <w:rPr>
          <w:rFonts w:cstheme="minorHAnsi"/>
          <w:sz w:val="21"/>
          <w:szCs w:val="21"/>
        </w:rPr>
        <w:t>.</w:t>
      </w:r>
    </w:p>
    <w:p w14:paraId="084B2BFC" w14:textId="77777777" w:rsidR="009E4EF3" w:rsidRPr="009E4EF3" w:rsidRDefault="009E4EF3" w:rsidP="009E4EF3">
      <w:pPr>
        <w:pStyle w:val="ListParagraph"/>
        <w:tabs>
          <w:tab w:val="left" w:pos="4055"/>
        </w:tabs>
        <w:spacing w:after="0" w:line="240" w:lineRule="auto"/>
        <w:ind w:left="0"/>
        <w:jc w:val="both"/>
        <w:rPr>
          <w:rFonts w:cstheme="minorHAnsi"/>
          <w:sz w:val="21"/>
          <w:szCs w:val="21"/>
        </w:rPr>
      </w:pPr>
    </w:p>
    <w:p w14:paraId="46E32622" w14:textId="77777777" w:rsidR="009E4EF3" w:rsidRPr="009E4EF3" w:rsidRDefault="009E4EF3" w:rsidP="009E4EF3">
      <w:pPr>
        <w:spacing w:before="0" w:after="0"/>
        <w:jc w:val="both"/>
        <w:rPr>
          <w:rFonts w:cstheme="minorHAnsi"/>
          <w:color w:val="auto"/>
          <w:sz w:val="21"/>
          <w:szCs w:val="21"/>
        </w:rPr>
      </w:pPr>
      <w:proofErr w:type="spellStart"/>
      <w:r w:rsidRPr="009E4EF3">
        <w:rPr>
          <w:rFonts w:cstheme="minorHAnsi"/>
          <w:color w:val="auto"/>
          <w:sz w:val="21"/>
          <w:szCs w:val="21"/>
        </w:rPr>
        <w:t>Gradinaru</w:t>
      </w:r>
      <w:proofErr w:type="spellEnd"/>
      <w:r w:rsidRPr="009E4EF3">
        <w:rPr>
          <w:rFonts w:cstheme="minorHAnsi"/>
          <w:color w:val="auto"/>
          <w:sz w:val="21"/>
          <w:szCs w:val="21"/>
        </w:rPr>
        <w:t xml:space="preserve">, C. &amp; </w:t>
      </w:r>
      <w:proofErr w:type="spellStart"/>
      <w:r w:rsidRPr="009E4EF3">
        <w:rPr>
          <w:rFonts w:cstheme="minorHAnsi"/>
          <w:color w:val="auto"/>
          <w:sz w:val="21"/>
          <w:szCs w:val="21"/>
        </w:rPr>
        <w:t>Stoica</w:t>
      </w:r>
      <w:proofErr w:type="spellEnd"/>
      <w:r w:rsidRPr="009E4EF3">
        <w:rPr>
          <w:rFonts w:cstheme="minorHAnsi"/>
          <w:color w:val="auto"/>
          <w:sz w:val="21"/>
          <w:szCs w:val="21"/>
        </w:rPr>
        <w:t xml:space="preserve">, T. (2018). </w:t>
      </w:r>
      <w:proofErr w:type="spellStart"/>
      <w:r w:rsidRPr="009E4EF3">
        <w:rPr>
          <w:rFonts w:cstheme="minorHAnsi"/>
          <w:i/>
          <w:color w:val="auto"/>
          <w:sz w:val="21"/>
          <w:szCs w:val="21"/>
        </w:rPr>
        <w:t>Studiu</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privind</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utilizarea</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internetului</w:t>
      </w:r>
      <w:proofErr w:type="spellEnd"/>
      <w:r w:rsidRPr="009E4EF3">
        <w:rPr>
          <w:rFonts w:cstheme="minorHAnsi"/>
          <w:i/>
          <w:color w:val="auto"/>
          <w:sz w:val="21"/>
          <w:szCs w:val="21"/>
        </w:rPr>
        <w:t xml:space="preserve"> de </w:t>
      </w:r>
      <w:proofErr w:type="spellStart"/>
      <w:r w:rsidRPr="009E4EF3">
        <w:rPr>
          <w:rFonts w:cstheme="minorHAnsi"/>
          <w:i/>
          <w:color w:val="auto"/>
          <w:sz w:val="21"/>
          <w:szCs w:val="21"/>
        </w:rPr>
        <w:t>catre</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copii</w:t>
      </w:r>
      <w:proofErr w:type="spellEnd"/>
      <w:r w:rsidRPr="009E4EF3">
        <w:rPr>
          <w:rFonts w:cstheme="minorHAnsi"/>
          <w:color w:val="auto"/>
          <w:sz w:val="21"/>
          <w:szCs w:val="21"/>
        </w:rPr>
        <w:t xml:space="preserve">, </w:t>
      </w:r>
      <w:proofErr w:type="spellStart"/>
      <w:r w:rsidRPr="009E4EF3">
        <w:rPr>
          <w:rFonts w:cstheme="minorHAnsi"/>
          <w:color w:val="auto"/>
          <w:sz w:val="21"/>
          <w:szCs w:val="21"/>
        </w:rPr>
        <w:t>Salvati</w:t>
      </w:r>
      <w:proofErr w:type="spellEnd"/>
      <w:r w:rsidRPr="009E4EF3">
        <w:rPr>
          <w:rFonts w:cstheme="minorHAnsi"/>
          <w:color w:val="auto"/>
          <w:sz w:val="21"/>
          <w:szCs w:val="21"/>
        </w:rPr>
        <w:t xml:space="preserve"> </w:t>
      </w:r>
      <w:proofErr w:type="spellStart"/>
      <w:r w:rsidRPr="009E4EF3">
        <w:rPr>
          <w:rFonts w:cstheme="minorHAnsi"/>
          <w:color w:val="auto"/>
          <w:sz w:val="21"/>
          <w:szCs w:val="21"/>
        </w:rPr>
        <w:t>copiii</w:t>
      </w:r>
      <w:proofErr w:type="spellEnd"/>
      <w:r w:rsidRPr="009E4EF3">
        <w:rPr>
          <w:rFonts w:cstheme="minorHAnsi"/>
          <w:color w:val="auto"/>
          <w:sz w:val="21"/>
          <w:szCs w:val="21"/>
        </w:rPr>
        <w:t>/Save the Children Romania.</w:t>
      </w:r>
    </w:p>
    <w:p w14:paraId="133ABA0D" w14:textId="77777777" w:rsidR="009E4EF3" w:rsidRPr="009E4EF3" w:rsidRDefault="009E4EF3" w:rsidP="009E4EF3">
      <w:pPr>
        <w:spacing w:before="0" w:after="0"/>
        <w:jc w:val="both"/>
        <w:rPr>
          <w:rFonts w:cstheme="minorHAnsi"/>
          <w:color w:val="auto"/>
          <w:sz w:val="21"/>
          <w:szCs w:val="21"/>
        </w:rPr>
      </w:pPr>
    </w:p>
    <w:p w14:paraId="4F003414" w14:textId="77777777" w:rsidR="009E4EF3" w:rsidRPr="007F053F" w:rsidRDefault="009E4EF3" w:rsidP="009E4EF3">
      <w:pPr>
        <w:spacing w:before="0" w:after="0"/>
        <w:jc w:val="both"/>
        <w:rPr>
          <w:rStyle w:val="Hyperlink"/>
          <w:rFonts w:cstheme="minorHAnsi"/>
          <w:sz w:val="21"/>
          <w:szCs w:val="21"/>
        </w:rPr>
      </w:pPr>
      <w:proofErr w:type="spellStart"/>
      <w:r w:rsidRPr="009E4EF3">
        <w:rPr>
          <w:rFonts w:cstheme="minorHAnsi"/>
          <w:color w:val="auto"/>
          <w:sz w:val="21"/>
          <w:szCs w:val="21"/>
        </w:rPr>
        <w:t>Inspectoratul</w:t>
      </w:r>
      <w:proofErr w:type="spellEnd"/>
      <w:r w:rsidRPr="009E4EF3">
        <w:rPr>
          <w:rFonts w:cstheme="minorHAnsi"/>
          <w:color w:val="auto"/>
          <w:sz w:val="21"/>
          <w:szCs w:val="21"/>
        </w:rPr>
        <w:t xml:space="preserve"> </w:t>
      </w:r>
      <w:proofErr w:type="spellStart"/>
      <w:r w:rsidRPr="009E4EF3">
        <w:rPr>
          <w:rFonts w:cstheme="minorHAnsi"/>
          <w:color w:val="auto"/>
          <w:sz w:val="21"/>
          <w:szCs w:val="21"/>
        </w:rPr>
        <w:t>Scolar</w:t>
      </w:r>
      <w:proofErr w:type="spellEnd"/>
      <w:r w:rsidRPr="009E4EF3">
        <w:rPr>
          <w:rFonts w:cstheme="minorHAnsi"/>
          <w:color w:val="auto"/>
          <w:sz w:val="21"/>
          <w:szCs w:val="21"/>
        </w:rPr>
        <w:t xml:space="preserve"> </w:t>
      </w:r>
      <w:proofErr w:type="spellStart"/>
      <w:r w:rsidRPr="009E4EF3">
        <w:rPr>
          <w:rFonts w:cstheme="minorHAnsi"/>
          <w:color w:val="auto"/>
          <w:sz w:val="21"/>
          <w:szCs w:val="21"/>
        </w:rPr>
        <w:t>Judetean</w:t>
      </w:r>
      <w:proofErr w:type="spellEnd"/>
      <w:r w:rsidRPr="009E4EF3">
        <w:rPr>
          <w:rFonts w:cstheme="minorHAnsi"/>
          <w:color w:val="auto"/>
          <w:sz w:val="21"/>
          <w:szCs w:val="21"/>
        </w:rPr>
        <w:t xml:space="preserve"> Cluj. “</w:t>
      </w:r>
      <w:proofErr w:type="spellStart"/>
      <w:r w:rsidRPr="009E4EF3">
        <w:rPr>
          <w:rFonts w:cstheme="minorHAnsi"/>
          <w:color w:val="auto"/>
          <w:sz w:val="21"/>
          <w:szCs w:val="21"/>
        </w:rPr>
        <w:t>Starea</w:t>
      </w:r>
      <w:proofErr w:type="spellEnd"/>
      <w:r w:rsidRPr="009E4EF3">
        <w:rPr>
          <w:rFonts w:cstheme="minorHAnsi"/>
          <w:color w:val="auto"/>
          <w:sz w:val="21"/>
          <w:szCs w:val="21"/>
        </w:rPr>
        <w:t xml:space="preserve"> </w:t>
      </w:r>
      <w:proofErr w:type="spellStart"/>
      <w:r w:rsidRPr="009E4EF3">
        <w:rPr>
          <w:rFonts w:cstheme="minorHAnsi"/>
          <w:color w:val="auto"/>
          <w:sz w:val="21"/>
          <w:szCs w:val="21"/>
        </w:rPr>
        <w:t>si</w:t>
      </w:r>
      <w:proofErr w:type="spellEnd"/>
      <w:r w:rsidRPr="009E4EF3">
        <w:rPr>
          <w:rFonts w:cstheme="minorHAnsi"/>
          <w:color w:val="auto"/>
          <w:sz w:val="21"/>
          <w:szCs w:val="21"/>
        </w:rPr>
        <w:t xml:space="preserve"> </w:t>
      </w:r>
      <w:proofErr w:type="spellStart"/>
      <w:r w:rsidRPr="009E4EF3">
        <w:rPr>
          <w:rFonts w:cstheme="minorHAnsi"/>
          <w:color w:val="auto"/>
          <w:sz w:val="21"/>
          <w:szCs w:val="21"/>
        </w:rPr>
        <w:t>Calitatea</w:t>
      </w:r>
      <w:proofErr w:type="spellEnd"/>
      <w:r w:rsidRPr="009E4EF3">
        <w:rPr>
          <w:rFonts w:cstheme="minorHAnsi"/>
          <w:color w:val="auto"/>
          <w:sz w:val="21"/>
          <w:szCs w:val="21"/>
        </w:rPr>
        <w:t xml:space="preserve"> </w:t>
      </w:r>
      <w:proofErr w:type="spellStart"/>
      <w:r w:rsidRPr="009E4EF3">
        <w:rPr>
          <w:rFonts w:cstheme="minorHAnsi"/>
          <w:color w:val="auto"/>
          <w:sz w:val="21"/>
          <w:szCs w:val="21"/>
        </w:rPr>
        <w:t>Invatamantului</w:t>
      </w:r>
      <w:proofErr w:type="spellEnd"/>
      <w:r w:rsidRPr="009E4EF3">
        <w:rPr>
          <w:rFonts w:cstheme="minorHAnsi"/>
          <w:color w:val="auto"/>
          <w:sz w:val="21"/>
          <w:szCs w:val="21"/>
        </w:rPr>
        <w:t xml:space="preserve"> </w:t>
      </w:r>
      <w:proofErr w:type="spellStart"/>
      <w:r w:rsidRPr="009E4EF3">
        <w:rPr>
          <w:rFonts w:cstheme="minorHAnsi"/>
          <w:color w:val="auto"/>
          <w:sz w:val="21"/>
          <w:szCs w:val="21"/>
        </w:rPr>
        <w:t>Preuniversitar</w:t>
      </w:r>
      <w:proofErr w:type="spellEnd"/>
      <w:r w:rsidRPr="009E4EF3">
        <w:rPr>
          <w:rFonts w:cstheme="minorHAnsi"/>
          <w:color w:val="auto"/>
          <w:sz w:val="21"/>
          <w:szCs w:val="21"/>
        </w:rPr>
        <w:t xml:space="preserve"> </w:t>
      </w:r>
      <w:proofErr w:type="spellStart"/>
      <w:r w:rsidRPr="009E4EF3">
        <w:rPr>
          <w:rFonts w:cstheme="minorHAnsi"/>
          <w:color w:val="auto"/>
          <w:sz w:val="21"/>
          <w:szCs w:val="21"/>
        </w:rPr>
        <w:t>Clujean</w:t>
      </w:r>
      <w:proofErr w:type="spellEnd"/>
      <w:r w:rsidRPr="009E4EF3">
        <w:rPr>
          <w:rFonts w:cstheme="minorHAnsi"/>
          <w:color w:val="auto"/>
          <w:sz w:val="21"/>
          <w:szCs w:val="21"/>
        </w:rPr>
        <w:t xml:space="preserve">. </w:t>
      </w:r>
      <w:proofErr w:type="spellStart"/>
      <w:r w:rsidRPr="009E4EF3">
        <w:rPr>
          <w:rFonts w:cstheme="minorHAnsi"/>
          <w:color w:val="auto"/>
          <w:sz w:val="21"/>
          <w:szCs w:val="21"/>
        </w:rPr>
        <w:t>Raport</w:t>
      </w:r>
      <w:proofErr w:type="spellEnd"/>
      <w:r w:rsidRPr="009E4EF3">
        <w:rPr>
          <w:rFonts w:cstheme="minorHAnsi"/>
          <w:color w:val="auto"/>
          <w:sz w:val="21"/>
          <w:szCs w:val="21"/>
        </w:rPr>
        <w:t xml:space="preserve"> </w:t>
      </w:r>
      <w:proofErr w:type="spellStart"/>
      <w:r w:rsidRPr="009E4EF3">
        <w:rPr>
          <w:rFonts w:cstheme="minorHAnsi"/>
          <w:color w:val="auto"/>
          <w:sz w:val="21"/>
          <w:szCs w:val="21"/>
        </w:rPr>
        <w:t>Anual</w:t>
      </w:r>
      <w:proofErr w:type="spellEnd"/>
      <w:r w:rsidRPr="009E4EF3">
        <w:rPr>
          <w:rFonts w:cstheme="minorHAnsi"/>
          <w:color w:val="auto"/>
          <w:sz w:val="21"/>
          <w:szCs w:val="21"/>
        </w:rPr>
        <w:t xml:space="preserve"> 2018-2018.” </w:t>
      </w:r>
      <w:hyperlink r:id="rId16" w:history="1">
        <w:r w:rsidRPr="007F053F">
          <w:rPr>
            <w:rStyle w:val="Hyperlink"/>
            <w:rFonts w:cstheme="minorHAnsi"/>
            <w:sz w:val="21"/>
            <w:szCs w:val="21"/>
          </w:rPr>
          <w:t>www.isjcj.ro</w:t>
        </w:r>
      </w:hyperlink>
      <w:r w:rsidRPr="0021099B">
        <w:rPr>
          <w:rStyle w:val="Hyperlink"/>
          <w:rFonts w:cstheme="minorHAnsi"/>
          <w:color w:val="auto"/>
          <w:sz w:val="21"/>
          <w:szCs w:val="21"/>
          <w:u w:val="none"/>
        </w:rPr>
        <w:t>.</w:t>
      </w:r>
    </w:p>
    <w:p w14:paraId="55DAB550" w14:textId="77777777" w:rsidR="009E4EF3" w:rsidRPr="007F053F" w:rsidRDefault="009E4EF3" w:rsidP="009E4EF3">
      <w:pPr>
        <w:spacing w:before="0" w:after="0"/>
        <w:jc w:val="both"/>
        <w:rPr>
          <w:rFonts w:cstheme="minorHAnsi"/>
          <w:color w:val="0000FF"/>
          <w:sz w:val="21"/>
          <w:szCs w:val="21"/>
          <w:u w:val="single"/>
        </w:rPr>
      </w:pPr>
    </w:p>
    <w:p w14:paraId="426A93EE" w14:textId="77777777" w:rsidR="009E4EF3" w:rsidRPr="007F053F" w:rsidRDefault="009E4EF3" w:rsidP="009E4EF3">
      <w:pPr>
        <w:spacing w:before="0" w:after="0"/>
        <w:jc w:val="both"/>
        <w:rPr>
          <w:rStyle w:val="Hyperlink"/>
          <w:rFonts w:cstheme="minorHAnsi"/>
          <w:color w:val="auto"/>
          <w:sz w:val="21"/>
          <w:szCs w:val="21"/>
        </w:rPr>
      </w:pPr>
      <w:proofErr w:type="spellStart"/>
      <w:r w:rsidRPr="009E4EF3">
        <w:rPr>
          <w:rFonts w:cstheme="minorHAnsi"/>
          <w:color w:val="auto"/>
          <w:sz w:val="21"/>
          <w:szCs w:val="21"/>
        </w:rPr>
        <w:t>Institutul</w:t>
      </w:r>
      <w:proofErr w:type="spellEnd"/>
      <w:r w:rsidRPr="009E4EF3">
        <w:rPr>
          <w:rFonts w:cstheme="minorHAnsi"/>
          <w:color w:val="auto"/>
          <w:sz w:val="21"/>
          <w:szCs w:val="21"/>
        </w:rPr>
        <w:t xml:space="preserve"> National de </w:t>
      </w:r>
      <w:proofErr w:type="spellStart"/>
      <w:r w:rsidRPr="009E4EF3">
        <w:rPr>
          <w:rFonts w:cstheme="minorHAnsi"/>
          <w:color w:val="auto"/>
          <w:sz w:val="21"/>
          <w:szCs w:val="21"/>
        </w:rPr>
        <w:t>Statistica</w:t>
      </w:r>
      <w:proofErr w:type="spellEnd"/>
      <w:r w:rsidRPr="009E4EF3">
        <w:rPr>
          <w:rFonts w:cstheme="minorHAnsi"/>
          <w:color w:val="auto"/>
          <w:sz w:val="21"/>
          <w:szCs w:val="21"/>
        </w:rPr>
        <w:t xml:space="preserve">. </w:t>
      </w:r>
      <w:r w:rsidR="006D26FE">
        <w:rPr>
          <w:rFonts w:cstheme="minorHAnsi"/>
          <w:color w:val="auto"/>
          <w:sz w:val="21"/>
          <w:szCs w:val="21"/>
        </w:rPr>
        <w:t>(</w:t>
      </w:r>
      <w:r w:rsidRPr="009E4EF3">
        <w:rPr>
          <w:rFonts w:cstheme="minorHAnsi"/>
          <w:color w:val="auto"/>
          <w:sz w:val="21"/>
          <w:szCs w:val="21"/>
        </w:rPr>
        <w:t>2019</w:t>
      </w:r>
      <w:r w:rsidR="006D26FE">
        <w:rPr>
          <w:rFonts w:cstheme="minorHAnsi"/>
          <w:color w:val="auto"/>
          <w:sz w:val="21"/>
          <w:szCs w:val="21"/>
        </w:rPr>
        <w:t>)</w:t>
      </w:r>
      <w:r w:rsidRPr="009E4EF3">
        <w:rPr>
          <w:rFonts w:cstheme="minorHAnsi"/>
          <w:color w:val="auto"/>
          <w:sz w:val="21"/>
          <w:szCs w:val="21"/>
        </w:rPr>
        <w:t>. “</w:t>
      </w:r>
      <w:proofErr w:type="spellStart"/>
      <w:r w:rsidRPr="009E4EF3">
        <w:rPr>
          <w:rFonts w:cstheme="minorHAnsi"/>
          <w:color w:val="auto"/>
          <w:sz w:val="21"/>
          <w:szCs w:val="21"/>
        </w:rPr>
        <w:t>Sistemul</w:t>
      </w:r>
      <w:proofErr w:type="spellEnd"/>
      <w:r w:rsidRPr="009E4EF3">
        <w:rPr>
          <w:rFonts w:cstheme="minorHAnsi"/>
          <w:color w:val="auto"/>
          <w:sz w:val="21"/>
          <w:szCs w:val="21"/>
        </w:rPr>
        <w:t xml:space="preserve"> educational din Romania. Date </w:t>
      </w:r>
      <w:proofErr w:type="spellStart"/>
      <w:r w:rsidRPr="009E4EF3">
        <w:rPr>
          <w:rFonts w:cstheme="minorHAnsi"/>
          <w:color w:val="auto"/>
          <w:sz w:val="21"/>
          <w:szCs w:val="21"/>
        </w:rPr>
        <w:t>sintetice</w:t>
      </w:r>
      <w:proofErr w:type="spellEnd"/>
      <w:r w:rsidRPr="009E4EF3">
        <w:rPr>
          <w:rFonts w:cstheme="minorHAnsi"/>
          <w:color w:val="auto"/>
          <w:sz w:val="21"/>
          <w:szCs w:val="21"/>
        </w:rPr>
        <w:t xml:space="preserve">. </w:t>
      </w:r>
      <w:proofErr w:type="spellStart"/>
      <w:r w:rsidRPr="009E4EF3">
        <w:rPr>
          <w:rFonts w:cstheme="minorHAnsi"/>
          <w:color w:val="auto"/>
          <w:sz w:val="21"/>
          <w:szCs w:val="21"/>
        </w:rPr>
        <w:t>Anul</w:t>
      </w:r>
      <w:proofErr w:type="spellEnd"/>
      <w:r w:rsidRPr="009E4EF3">
        <w:rPr>
          <w:rFonts w:cstheme="minorHAnsi"/>
          <w:color w:val="auto"/>
          <w:sz w:val="21"/>
          <w:szCs w:val="21"/>
        </w:rPr>
        <w:t xml:space="preserve"> </w:t>
      </w:r>
      <w:proofErr w:type="spellStart"/>
      <w:r w:rsidRPr="009E4EF3">
        <w:rPr>
          <w:rFonts w:cstheme="minorHAnsi"/>
          <w:color w:val="auto"/>
          <w:sz w:val="21"/>
          <w:szCs w:val="21"/>
        </w:rPr>
        <w:t>scolar</w:t>
      </w:r>
      <w:proofErr w:type="spellEnd"/>
      <w:r w:rsidRPr="009E4EF3">
        <w:rPr>
          <w:rFonts w:cstheme="minorHAnsi"/>
          <w:color w:val="auto"/>
          <w:sz w:val="21"/>
          <w:szCs w:val="21"/>
        </w:rPr>
        <w:t>/</w:t>
      </w:r>
      <w:proofErr w:type="spellStart"/>
      <w:r w:rsidRPr="009E4EF3">
        <w:rPr>
          <w:rFonts w:cstheme="minorHAnsi"/>
          <w:color w:val="auto"/>
          <w:sz w:val="21"/>
          <w:szCs w:val="21"/>
        </w:rPr>
        <w:t>universitar</w:t>
      </w:r>
      <w:proofErr w:type="spellEnd"/>
      <w:r w:rsidRPr="009E4EF3">
        <w:rPr>
          <w:rFonts w:cstheme="minorHAnsi"/>
          <w:color w:val="auto"/>
          <w:sz w:val="21"/>
          <w:szCs w:val="21"/>
        </w:rPr>
        <w:t xml:space="preserve"> 2017-2018”. </w:t>
      </w:r>
      <w:hyperlink r:id="rId17" w:history="1">
        <w:r w:rsidRPr="007F053F">
          <w:rPr>
            <w:rStyle w:val="Hyperlink"/>
            <w:rFonts w:cstheme="minorHAnsi"/>
            <w:sz w:val="21"/>
            <w:szCs w:val="21"/>
          </w:rPr>
          <w:t>https://insse.ro/cms/</w:t>
        </w:r>
      </w:hyperlink>
      <w:r w:rsidRPr="0021099B">
        <w:rPr>
          <w:rStyle w:val="Hyperlink"/>
          <w:rFonts w:cstheme="minorHAnsi"/>
          <w:sz w:val="21"/>
          <w:szCs w:val="21"/>
          <w:u w:val="none"/>
        </w:rPr>
        <w:t xml:space="preserve">  </w:t>
      </w:r>
      <w:r w:rsidRPr="0021099B">
        <w:rPr>
          <w:rStyle w:val="Hyperlink"/>
          <w:rFonts w:cstheme="minorHAnsi"/>
          <w:color w:val="auto"/>
          <w:sz w:val="21"/>
          <w:szCs w:val="21"/>
          <w:u w:val="none"/>
        </w:rPr>
        <w:t>(accessed 27.05.2020).</w:t>
      </w:r>
    </w:p>
    <w:p w14:paraId="0DB9F173" w14:textId="77777777" w:rsidR="009E4EF3" w:rsidRPr="007F053F" w:rsidRDefault="009E4EF3" w:rsidP="009E4EF3">
      <w:pPr>
        <w:spacing w:before="0" w:after="0"/>
        <w:jc w:val="both"/>
        <w:rPr>
          <w:rFonts w:cstheme="minorHAnsi"/>
          <w:sz w:val="21"/>
          <w:szCs w:val="21"/>
        </w:rPr>
      </w:pPr>
    </w:p>
    <w:p w14:paraId="3170700A" w14:textId="77777777" w:rsidR="009E4EF3" w:rsidRPr="009E4EF3" w:rsidRDefault="009E4EF3" w:rsidP="009E4EF3">
      <w:pPr>
        <w:tabs>
          <w:tab w:val="left" w:pos="4055"/>
        </w:tabs>
        <w:spacing w:before="0" w:after="0"/>
        <w:jc w:val="both"/>
        <w:rPr>
          <w:rFonts w:cstheme="minorHAnsi"/>
          <w:color w:val="auto"/>
          <w:sz w:val="21"/>
          <w:szCs w:val="21"/>
        </w:rPr>
      </w:pPr>
      <w:proofErr w:type="spellStart"/>
      <w:r w:rsidRPr="009E4EF3">
        <w:rPr>
          <w:rFonts w:cstheme="minorHAnsi"/>
          <w:color w:val="auto"/>
          <w:sz w:val="21"/>
          <w:szCs w:val="21"/>
        </w:rPr>
        <w:t>Iosifescu</w:t>
      </w:r>
      <w:proofErr w:type="spellEnd"/>
      <w:r w:rsidRPr="009E4EF3">
        <w:rPr>
          <w:rFonts w:cstheme="minorHAnsi"/>
          <w:color w:val="auto"/>
          <w:sz w:val="21"/>
          <w:szCs w:val="21"/>
        </w:rPr>
        <w:t>, S., Novak, C. (2014)</w:t>
      </w:r>
      <w:r w:rsidR="006D26FE">
        <w:rPr>
          <w:rFonts w:cstheme="minorHAnsi"/>
          <w:color w:val="auto"/>
          <w:sz w:val="21"/>
          <w:szCs w:val="21"/>
        </w:rPr>
        <w:t>.</w:t>
      </w:r>
      <w:r w:rsidRPr="009E4EF3">
        <w:rPr>
          <w:rFonts w:cstheme="minorHAnsi"/>
          <w:color w:val="auto"/>
          <w:sz w:val="21"/>
          <w:szCs w:val="21"/>
        </w:rPr>
        <w:t xml:space="preserve"> </w:t>
      </w:r>
      <w:proofErr w:type="spellStart"/>
      <w:r w:rsidRPr="009E4EF3">
        <w:rPr>
          <w:rFonts w:cstheme="minorHAnsi"/>
          <w:i/>
          <w:color w:val="auto"/>
          <w:sz w:val="21"/>
          <w:szCs w:val="21"/>
        </w:rPr>
        <w:t>Cercetare</w:t>
      </w:r>
      <w:proofErr w:type="spellEnd"/>
      <w:r w:rsidRPr="009E4EF3">
        <w:rPr>
          <w:rFonts w:cstheme="minorHAnsi"/>
          <w:i/>
          <w:color w:val="auto"/>
          <w:sz w:val="21"/>
          <w:szCs w:val="21"/>
        </w:rPr>
        <w:t xml:space="preserve"> cu </w:t>
      </w:r>
      <w:proofErr w:type="spellStart"/>
      <w:r w:rsidRPr="009E4EF3">
        <w:rPr>
          <w:rFonts w:cstheme="minorHAnsi"/>
          <w:i/>
          <w:color w:val="auto"/>
          <w:sz w:val="21"/>
          <w:szCs w:val="21"/>
        </w:rPr>
        <w:t>privire</w:t>
      </w:r>
      <w:proofErr w:type="spellEnd"/>
      <w:r w:rsidRPr="009E4EF3">
        <w:rPr>
          <w:rFonts w:cstheme="minorHAnsi"/>
          <w:i/>
          <w:color w:val="auto"/>
          <w:sz w:val="21"/>
          <w:szCs w:val="21"/>
        </w:rPr>
        <w:t xml:space="preserve"> la </w:t>
      </w:r>
      <w:proofErr w:type="spellStart"/>
      <w:r w:rsidRPr="009E4EF3">
        <w:rPr>
          <w:rFonts w:cstheme="minorHAnsi"/>
          <w:i/>
          <w:color w:val="auto"/>
          <w:sz w:val="21"/>
          <w:szCs w:val="21"/>
        </w:rPr>
        <w:t>calitatea</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educatiei</w:t>
      </w:r>
      <w:proofErr w:type="spellEnd"/>
      <w:r w:rsidRPr="009E4EF3">
        <w:rPr>
          <w:rFonts w:cstheme="minorHAnsi"/>
          <w:i/>
          <w:color w:val="auto"/>
          <w:sz w:val="21"/>
          <w:szCs w:val="21"/>
        </w:rPr>
        <w:t xml:space="preserve"> in </w:t>
      </w:r>
      <w:proofErr w:type="spellStart"/>
      <w:r w:rsidRPr="009E4EF3">
        <w:rPr>
          <w:rFonts w:cstheme="minorHAnsi"/>
          <w:i/>
          <w:color w:val="auto"/>
          <w:sz w:val="21"/>
          <w:szCs w:val="21"/>
        </w:rPr>
        <w:t>mediul</w:t>
      </w:r>
      <w:proofErr w:type="spellEnd"/>
      <w:r w:rsidRPr="009E4EF3">
        <w:rPr>
          <w:rFonts w:cstheme="minorHAnsi"/>
          <w:i/>
          <w:color w:val="auto"/>
          <w:sz w:val="21"/>
          <w:szCs w:val="21"/>
        </w:rPr>
        <w:t xml:space="preserve"> rural</w:t>
      </w:r>
      <w:r w:rsidRPr="009E4EF3">
        <w:rPr>
          <w:rFonts w:cstheme="minorHAnsi"/>
          <w:color w:val="auto"/>
          <w:sz w:val="21"/>
          <w:szCs w:val="21"/>
        </w:rPr>
        <w:t xml:space="preserve">, Cluj-Napoca: </w:t>
      </w:r>
      <w:proofErr w:type="spellStart"/>
      <w:r w:rsidRPr="009E4EF3">
        <w:rPr>
          <w:rFonts w:cstheme="minorHAnsi"/>
          <w:color w:val="auto"/>
          <w:sz w:val="21"/>
          <w:szCs w:val="21"/>
        </w:rPr>
        <w:t>Risoprint</w:t>
      </w:r>
      <w:proofErr w:type="spellEnd"/>
      <w:r w:rsidRPr="009E4EF3">
        <w:rPr>
          <w:rFonts w:cstheme="minorHAnsi"/>
          <w:color w:val="auto"/>
          <w:sz w:val="21"/>
          <w:szCs w:val="21"/>
        </w:rPr>
        <w:t>.</w:t>
      </w:r>
    </w:p>
    <w:p w14:paraId="4187105E" w14:textId="77777777" w:rsidR="009E4EF3" w:rsidRPr="009E4EF3" w:rsidRDefault="009E4EF3" w:rsidP="009E4EF3">
      <w:pPr>
        <w:spacing w:before="0" w:after="0"/>
        <w:jc w:val="both"/>
        <w:rPr>
          <w:rFonts w:cstheme="minorHAnsi"/>
          <w:color w:val="auto"/>
          <w:sz w:val="21"/>
          <w:szCs w:val="21"/>
        </w:rPr>
      </w:pPr>
    </w:p>
    <w:p w14:paraId="758BACBA" w14:textId="77777777" w:rsidR="009E4EF3" w:rsidRDefault="006C1C3F" w:rsidP="009E4EF3">
      <w:pPr>
        <w:spacing w:before="0" w:after="0"/>
        <w:jc w:val="both"/>
        <w:rPr>
          <w:rStyle w:val="Hyperlink"/>
          <w:rFonts w:cstheme="minorHAnsi"/>
          <w:color w:val="auto"/>
          <w:sz w:val="21"/>
          <w:szCs w:val="21"/>
          <w:u w:val="none"/>
        </w:rPr>
      </w:pPr>
      <w:r>
        <w:rPr>
          <w:rFonts w:cstheme="minorHAnsi"/>
          <w:color w:val="auto"/>
          <w:sz w:val="21"/>
          <w:szCs w:val="21"/>
        </w:rPr>
        <w:t>OECD (2019a</w:t>
      </w:r>
      <w:r w:rsidR="009E4EF3" w:rsidRPr="009E4EF3">
        <w:rPr>
          <w:rFonts w:cstheme="minorHAnsi"/>
          <w:color w:val="auto"/>
          <w:sz w:val="21"/>
          <w:szCs w:val="21"/>
        </w:rPr>
        <w:t xml:space="preserve">) “Romania- Country Note – TALIS 2018 Results”, </w:t>
      </w:r>
      <w:r w:rsidR="009E4EF3" w:rsidRPr="009E4EF3">
        <w:rPr>
          <w:rFonts w:cstheme="minorHAnsi"/>
          <w:i/>
          <w:color w:val="auto"/>
          <w:sz w:val="21"/>
          <w:szCs w:val="21"/>
        </w:rPr>
        <w:t>Volume I – Teachers and School Leaders as Lifelong Learners</w:t>
      </w:r>
      <w:r w:rsidR="009E4EF3" w:rsidRPr="007F053F">
        <w:rPr>
          <w:rFonts w:cstheme="minorHAnsi"/>
          <w:i/>
          <w:sz w:val="21"/>
          <w:szCs w:val="21"/>
        </w:rPr>
        <w:t xml:space="preserve">. </w:t>
      </w:r>
      <w:hyperlink r:id="rId18" w:history="1">
        <w:r w:rsidR="009E4EF3" w:rsidRPr="007F053F">
          <w:rPr>
            <w:rStyle w:val="Hyperlink"/>
            <w:rFonts w:cstheme="minorHAnsi"/>
            <w:sz w:val="21"/>
            <w:szCs w:val="21"/>
          </w:rPr>
          <w:t>http://www.oecd.org/education/talis/TALIS2018_CN_ROU.pdf</w:t>
        </w:r>
      </w:hyperlink>
      <w:r w:rsidR="009E4EF3" w:rsidRPr="0021099B">
        <w:rPr>
          <w:rStyle w:val="Hyperlink"/>
          <w:rFonts w:cstheme="minorHAnsi"/>
          <w:sz w:val="21"/>
          <w:szCs w:val="21"/>
          <w:u w:val="none"/>
        </w:rPr>
        <w:t xml:space="preserve">  </w:t>
      </w:r>
      <w:r w:rsidR="009E4EF3" w:rsidRPr="0021099B">
        <w:rPr>
          <w:rStyle w:val="Hyperlink"/>
          <w:rFonts w:cstheme="minorHAnsi"/>
          <w:color w:val="auto"/>
          <w:sz w:val="21"/>
          <w:szCs w:val="21"/>
          <w:u w:val="none"/>
        </w:rPr>
        <w:t>(accessed 03.06.2020).</w:t>
      </w:r>
    </w:p>
    <w:p w14:paraId="0A6E5FD3" w14:textId="77777777" w:rsidR="0021099B" w:rsidRDefault="0021099B" w:rsidP="009E4EF3">
      <w:pPr>
        <w:spacing w:before="0" w:after="0"/>
        <w:jc w:val="both"/>
        <w:rPr>
          <w:rStyle w:val="Hyperlink"/>
          <w:rFonts w:cstheme="minorHAnsi"/>
          <w:color w:val="auto"/>
          <w:sz w:val="21"/>
          <w:szCs w:val="21"/>
          <w:u w:val="none"/>
        </w:rPr>
      </w:pPr>
    </w:p>
    <w:p w14:paraId="475EC5B1" w14:textId="77777777" w:rsidR="0021099B" w:rsidRPr="007F053F" w:rsidRDefault="0021099B" w:rsidP="0021099B">
      <w:pPr>
        <w:spacing w:before="0" w:after="0"/>
        <w:jc w:val="both"/>
        <w:rPr>
          <w:rStyle w:val="Hyperlink"/>
          <w:rFonts w:cstheme="minorHAnsi"/>
          <w:color w:val="auto"/>
          <w:sz w:val="21"/>
          <w:szCs w:val="21"/>
        </w:rPr>
      </w:pPr>
      <w:r w:rsidRPr="009E4EF3">
        <w:rPr>
          <w:rFonts w:cstheme="minorHAnsi"/>
          <w:color w:val="auto"/>
          <w:sz w:val="21"/>
          <w:szCs w:val="21"/>
        </w:rPr>
        <w:t>OECD (2019</w:t>
      </w:r>
      <w:r>
        <w:rPr>
          <w:rFonts w:cstheme="minorHAnsi"/>
          <w:color w:val="auto"/>
          <w:sz w:val="21"/>
          <w:szCs w:val="21"/>
        </w:rPr>
        <w:t>b</w:t>
      </w:r>
      <w:r w:rsidRPr="009E4EF3">
        <w:rPr>
          <w:rFonts w:cstheme="minorHAnsi"/>
          <w:color w:val="auto"/>
          <w:sz w:val="21"/>
          <w:szCs w:val="21"/>
        </w:rPr>
        <w:t xml:space="preserve">) </w:t>
      </w:r>
      <w:proofErr w:type="spellStart"/>
      <w:r w:rsidRPr="009E4EF3">
        <w:rPr>
          <w:rFonts w:cstheme="minorHAnsi"/>
          <w:color w:val="auto"/>
          <w:sz w:val="21"/>
          <w:szCs w:val="21"/>
        </w:rPr>
        <w:t>Programme</w:t>
      </w:r>
      <w:proofErr w:type="spellEnd"/>
      <w:r w:rsidRPr="009E4EF3">
        <w:rPr>
          <w:rFonts w:cstheme="minorHAnsi"/>
          <w:color w:val="auto"/>
          <w:sz w:val="21"/>
          <w:szCs w:val="21"/>
        </w:rPr>
        <w:t xml:space="preserve"> for International Student Assessment (PISA). Results from PISA 2018. Country Note: Romania. </w:t>
      </w:r>
      <w:hyperlink r:id="rId19" w:history="1">
        <w:r w:rsidRPr="007F053F">
          <w:rPr>
            <w:rStyle w:val="Hyperlink"/>
            <w:rFonts w:cstheme="minorHAnsi"/>
            <w:sz w:val="21"/>
            <w:szCs w:val="21"/>
          </w:rPr>
          <w:t>https://www.oecd.org/pisa/publications/PISA2018_CN_ROU.pdf</w:t>
        </w:r>
      </w:hyperlink>
      <w:r w:rsidRPr="0021099B">
        <w:rPr>
          <w:rStyle w:val="Hyperlink"/>
          <w:rFonts w:cstheme="minorHAnsi"/>
          <w:sz w:val="21"/>
          <w:szCs w:val="21"/>
          <w:u w:val="none"/>
        </w:rPr>
        <w:t xml:space="preserve">   </w:t>
      </w:r>
      <w:r w:rsidRPr="0021099B">
        <w:rPr>
          <w:rStyle w:val="Hyperlink"/>
          <w:rFonts w:cstheme="minorHAnsi"/>
          <w:color w:val="auto"/>
          <w:sz w:val="21"/>
          <w:szCs w:val="21"/>
          <w:u w:val="none"/>
        </w:rPr>
        <w:t>(accessed 03.06.2020).</w:t>
      </w:r>
    </w:p>
    <w:p w14:paraId="19D2FF4E" w14:textId="77777777" w:rsidR="009E4EF3" w:rsidRPr="007F053F" w:rsidRDefault="009E4EF3" w:rsidP="009E4EF3">
      <w:pPr>
        <w:tabs>
          <w:tab w:val="left" w:pos="4055"/>
        </w:tabs>
        <w:spacing w:before="0" w:after="0"/>
        <w:jc w:val="both"/>
        <w:rPr>
          <w:rFonts w:cstheme="minorHAnsi"/>
          <w:sz w:val="21"/>
          <w:szCs w:val="21"/>
        </w:rPr>
      </w:pPr>
    </w:p>
    <w:p w14:paraId="4E990B4F" w14:textId="77777777" w:rsidR="009E4EF3" w:rsidRPr="009E4EF3" w:rsidRDefault="009E4EF3" w:rsidP="009E4EF3">
      <w:pPr>
        <w:tabs>
          <w:tab w:val="left" w:pos="4055"/>
        </w:tabs>
        <w:spacing w:before="0" w:after="0"/>
        <w:jc w:val="both"/>
        <w:rPr>
          <w:rFonts w:cstheme="minorHAnsi"/>
          <w:color w:val="auto"/>
          <w:sz w:val="21"/>
          <w:szCs w:val="21"/>
        </w:rPr>
      </w:pPr>
      <w:proofErr w:type="spellStart"/>
      <w:r w:rsidRPr="009E4EF3">
        <w:rPr>
          <w:rFonts w:cstheme="minorHAnsi"/>
          <w:color w:val="auto"/>
          <w:sz w:val="21"/>
          <w:szCs w:val="21"/>
        </w:rPr>
        <w:t>Onu</w:t>
      </w:r>
      <w:proofErr w:type="spellEnd"/>
      <w:r w:rsidRPr="009E4EF3">
        <w:rPr>
          <w:rFonts w:cstheme="minorHAnsi"/>
          <w:color w:val="auto"/>
          <w:sz w:val="21"/>
          <w:szCs w:val="21"/>
        </w:rPr>
        <w:t xml:space="preserve">, D., Pop, I., </w:t>
      </w:r>
      <w:proofErr w:type="spellStart"/>
      <w:r w:rsidRPr="009E4EF3">
        <w:rPr>
          <w:rFonts w:cstheme="minorHAnsi"/>
          <w:color w:val="auto"/>
          <w:sz w:val="21"/>
          <w:szCs w:val="21"/>
        </w:rPr>
        <w:t>Chiriacescu</w:t>
      </w:r>
      <w:proofErr w:type="spellEnd"/>
      <w:r w:rsidRPr="009E4EF3">
        <w:rPr>
          <w:rFonts w:cstheme="minorHAnsi"/>
          <w:color w:val="auto"/>
          <w:sz w:val="21"/>
          <w:szCs w:val="21"/>
        </w:rPr>
        <w:t xml:space="preserve">, D., </w:t>
      </w:r>
      <w:proofErr w:type="spellStart"/>
      <w:r w:rsidRPr="009E4EF3">
        <w:rPr>
          <w:rFonts w:cstheme="minorHAnsi"/>
          <w:color w:val="auto"/>
          <w:sz w:val="21"/>
          <w:szCs w:val="21"/>
        </w:rPr>
        <w:t>Preda</w:t>
      </w:r>
      <w:proofErr w:type="spellEnd"/>
      <w:r w:rsidRPr="009E4EF3">
        <w:rPr>
          <w:rFonts w:cstheme="minorHAnsi"/>
          <w:color w:val="auto"/>
          <w:sz w:val="21"/>
          <w:szCs w:val="21"/>
        </w:rPr>
        <w:t xml:space="preserve">, F., Roman, G. (2019) </w:t>
      </w:r>
      <w:proofErr w:type="spellStart"/>
      <w:r w:rsidRPr="009E4EF3">
        <w:rPr>
          <w:rFonts w:cstheme="minorHAnsi"/>
          <w:i/>
          <w:color w:val="auto"/>
          <w:sz w:val="21"/>
          <w:szCs w:val="21"/>
        </w:rPr>
        <w:t>Raport</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privind</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respectarea</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drepturilor</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copilului</w:t>
      </w:r>
      <w:proofErr w:type="spellEnd"/>
      <w:r w:rsidRPr="009E4EF3">
        <w:rPr>
          <w:rFonts w:cstheme="minorHAnsi"/>
          <w:i/>
          <w:color w:val="auto"/>
          <w:sz w:val="21"/>
          <w:szCs w:val="21"/>
        </w:rPr>
        <w:t xml:space="preserve"> in Romania</w:t>
      </w:r>
      <w:r w:rsidRPr="009E4EF3">
        <w:rPr>
          <w:rFonts w:cstheme="minorHAnsi"/>
          <w:color w:val="auto"/>
          <w:sz w:val="21"/>
          <w:szCs w:val="21"/>
        </w:rPr>
        <w:t xml:space="preserve">, </w:t>
      </w:r>
      <w:proofErr w:type="spellStart"/>
      <w:r w:rsidRPr="009E4EF3">
        <w:rPr>
          <w:rFonts w:cstheme="minorHAnsi"/>
          <w:color w:val="auto"/>
          <w:sz w:val="21"/>
          <w:szCs w:val="21"/>
        </w:rPr>
        <w:t>Avocatul</w:t>
      </w:r>
      <w:proofErr w:type="spellEnd"/>
      <w:r w:rsidRPr="009E4EF3">
        <w:rPr>
          <w:rFonts w:cstheme="minorHAnsi"/>
          <w:color w:val="auto"/>
          <w:sz w:val="21"/>
          <w:szCs w:val="21"/>
        </w:rPr>
        <w:t xml:space="preserve"> </w:t>
      </w:r>
      <w:proofErr w:type="spellStart"/>
      <w:r w:rsidRPr="009E4EF3">
        <w:rPr>
          <w:rFonts w:cstheme="minorHAnsi"/>
          <w:color w:val="auto"/>
          <w:sz w:val="21"/>
          <w:szCs w:val="21"/>
        </w:rPr>
        <w:t>Poporului</w:t>
      </w:r>
      <w:proofErr w:type="spellEnd"/>
      <w:r w:rsidRPr="009E4EF3">
        <w:rPr>
          <w:rFonts w:cstheme="minorHAnsi"/>
          <w:color w:val="auto"/>
          <w:sz w:val="21"/>
          <w:szCs w:val="21"/>
        </w:rPr>
        <w:t xml:space="preserve">, </w:t>
      </w:r>
      <w:proofErr w:type="spellStart"/>
      <w:r w:rsidRPr="009E4EF3">
        <w:rPr>
          <w:rFonts w:cstheme="minorHAnsi"/>
          <w:color w:val="auto"/>
          <w:sz w:val="21"/>
          <w:szCs w:val="21"/>
        </w:rPr>
        <w:t>Salvati</w:t>
      </w:r>
      <w:proofErr w:type="spellEnd"/>
      <w:r w:rsidRPr="009E4EF3">
        <w:rPr>
          <w:rFonts w:cstheme="minorHAnsi"/>
          <w:color w:val="auto"/>
          <w:sz w:val="21"/>
          <w:szCs w:val="21"/>
        </w:rPr>
        <w:t xml:space="preserve"> </w:t>
      </w:r>
      <w:proofErr w:type="spellStart"/>
      <w:r w:rsidRPr="009E4EF3">
        <w:rPr>
          <w:rFonts w:cstheme="minorHAnsi"/>
          <w:color w:val="auto"/>
          <w:sz w:val="21"/>
          <w:szCs w:val="21"/>
        </w:rPr>
        <w:t>Copiii</w:t>
      </w:r>
      <w:proofErr w:type="spellEnd"/>
      <w:r w:rsidRPr="009E4EF3">
        <w:rPr>
          <w:rFonts w:cstheme="minorHAnsi"/>
          <w:color w:val="auto"/>
          <w:sz w:val="21"/>
          <w:szCs w:val="21"/>
        </w:rPr>
        <w:t xml:space="preserve"> Romania.</w:t>
      </w:r>
    </w:p>
    <w:p w14:paraId="6053A379" w14:textId="77777777" w:rsidR="009E4EF3" w:rsidRPr="007F053F" w:rsidRDefault="009E4EF3" w:rsidP="009E4EF3">
      <w:pPr>
        <w:tabs>
          <w:tab w:val="left" w:pos="4055"/>
        </w:tabs>
        <w:spacing w:before="0" w:after="0"/>
        <w:jc w:val="both"/>
        <w:rPr>
          <w:rFonts w:cstheme="minorHAnsi"/>
          <w:sz w:val="21"/>
          <w:szCs w:val="21"/>
        </w:rPr>
      </w:pPr>
    </w:p>
    <w:p w14:paraId="03B347A1" w14:textId="77777777" w:rsidR="009E4EF3" w:rsidRPr="009E4EF3" w:rsidRDefault="009E4EF3" w:rsidP="009E4EF3">
      <w:pPr>
        <w:tabs>
          <w:tab w:val="left" w:pos="4055"/>
        </w:tabs>
        <w:spacing w:before="0" w:after="0"/>
        <w:jc w:val="both"/>
        <w:rPr>
          <w:rFonts w:cstheme="minorHAnsi"/>
          <w:color w:val="auto"/>
          <w:sz w:val="21"/>
          <w:szCs w:val="21"/>
        </w:rPr>
      </w:pPr>
      <w:r w:rsidRPr="009E4EF3">
        <w:rPr>
          <w:rFonts w:cstheme="minorHAnsi"/>
          <w:color w:val="auto"/>
          <w:sz w:val="21"/>
          <w:szCs w:val="21"/>
        </w:rPr>
        <w:t xml:space="preserve">Petrescu, C., </w:t>
      </w:r>
      <w:proofErr w:type="spellStart"/>
      <w:r w:rsidRPr="009E4EF3">
        <w:rPr>
          <w:rFonts w:cstheme="minorHAnsi"/>
          <w:color w:val="auto"/>
          <w:sz w:val="21"/>
          <w:szCs w:val="21"/>
        </w:rPr>
        <w:t>Negrut</w:t>
      </w:r>
      <w:proofErr w:type="spellEnd"/>
      <w:r w:rsidRPr="009E4EF3">
        <w:rPr>
          <w:rFonts w:cstheme="minorHAnsi"/>
          <w:color w:val="auto"/>
          <w:sz w:val="21"/>
          <w:szCs w:val="21"/>
        </w:rPr>
        <w:t xml:space="preserve">, A., </w:t>
      </w:r>
      <w:proofErr w:type="spellStart"/>
      <w:r w:rsidRPr="009E4EF3">
        <w:rPr>
          <w:rFonts w:cstheme="minorHAnsi"/>
          <w:color w:val="auto"/>
          <w:sz w:val="21"/>
          <w:szCs w:val="21"/>
        </w:rPr>
        <w:t>Stanila</w:t>
      </w:r>
      <w:proofErr w:type="spellEnd"/>
      <w:r w:rsidRPr="009E4EF3">
        <w:rPr>
          <w:rFonts w:cstheme="minorHAnsi"/>
          <w:color w:val="auto"/>
          <w:sz w:val="21"/>
          <w:szCs w:val="21"/>
        </w:rPr>
        <w:t>. G. (2018)</w:t>
      </w:r>
      <w:r w:rsidR="006D26FE">
        <w:rPr>
          <w:rFonts w:cstheme="minorHAnsi"/>
          <w:color w:val="auto"/>
          <w:sz w:val="21"/>
          <w:szCs w:val="21"/>
        </w:rPr>
        <w:t>.</w:t>
      </w:r>
      <w:r w:rsidRPr="009E4EF3">
        <w:rPr>
          <w:rFonts w:cstheme="minorHAnsi"/>
          <w:color w:val="auto"/>
          <w:sz w:val="21"/>
          <w:szCs w:val="21"/>
        </w:rPr>
        <w:t xml:space="preserve"> </w:t>
      </w:r>
      <w:proofErr w:type="spellStart"/>
      <w:r w:rsidRPr="009E4EF3">
        <w:rPr>
          <w:rFonts w:cstheme="minorHAnsi"/>
          <w:i/>
          <w:color w:val="auto"/>
          <w:sz w:val="21"/>
          <w:szCs w:val="21"/>
        </w:rPr>
        <w:t>Bunastarea</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copilului</w:t>
      </w:r>
      <w:proofErr w:type="spellEnd"/>
      <w:r w:rsidRPr="009E4EF3">
        <w:rPr>
          <w:rFonts w:cstheme="minorHAnsi"/>
          <w:i/>
          <w:color w:val="auto"/>
          <w:sz w:val="21"/>
          <w:szCs w:val="21"/>
        </w:rPr>
        <w:t xml:space="preserve"> din </w:t>
      </w:r>
      <w:proofErr w:type="spellStart"/>
      <w:r w:rsidRPr="009E4EF3">
        <w:rPr>
          <w:rFonts w:cstheme="minorHAnsi"/>
          <w:i/>
          <w:color w:val="auto"/>
          <w:sz w:val="21"/>
          <w:szCs w:val="21"/>
        </w:rPr>
        <w:t>mediul</w:t>
      </w:r>
      <w:proofErr w:type="spellEnd"/>
      <w:r w:rsidRPr="009E4EF3">
        <w:rPr>
          <w:rFonts w:cstheme="minorHAnsi"/>
          <w:i/>
          <w:color w:val="auto"/>
          <w:sz w:val="21"/>
          <w:szCs w:val="21"/>
        </w:rPr>
        <w:t xml:space="preserve"> rural 2018, </w:t>
      </w:r>
      <w:r w:rsidRPr="009E4EF3">
        <w:rPr>
          <w:rFonts w:cstheme="minorHAnsi"/>
          <w:color w:val="auto"/>
          <w:sz w:val="21"/>
          <w:szCs w:val="21"/>
        </w:rPr>
        <w:t>World Vision Romania.</w:t>
      </w:r>
    </w:p>
    <w:p w14:paraId="0FCFA9D5" w14:textId="77777777" w:rsidR="009E4EF3" w:rsidRPr="009E4EF3" w:rsidRDefault="009E4EF3" w:rsidP="009E4EF3">
      <w:pPr>
        <w:spacing w:before="0" w:after="0"/>
        <w:jc w:val="both"/>
        <w:rPr>
          <w:rFonts w:cstheme="minorHAnsi"/>
          <w:color w:val="auto"/>
          <w:sz w:val="21"/>
          <w:szCs w:val="21"/>
        </w:rPr>
      </w:pPr>
      <w:proofErr w:type="spellStart"/>
      <w:r w:rsidRPr="009E4EF3">
        <w:rPr>
          <w:rFonts w:cstheme="minorHAnsi"/>
          <w:color w:val="auto"/>
          <w:sz w:val="21"/>
          <w:szCs w:val="21"/>
        </w:rPr>
        <w:t>Salvati</w:t>
      </w:r>
      <w:proofErr w:type="spellEnd"/>
      <w:r w:rsidRPr="009E4EF3">
        <w:rPr>
          <w:rFonts w:cstheme="minorHAnsi"/>
          <w:color w:val="auto"/>
          <w:sz w:val="21"/>
          <w:szCs w:val="21"/>
        </w:rPr>
        <w:t xml:space="preserve"> </w:t>
      </w:r>
      <w:proofErr w:type="spellStart"/>
      <w:r w:rsidRPr="009E4EF3">
        <w:rPr>
          <w:rFonts w:cstheme="minorHAnsi"/>
          <w:color w:val="auto"/>
          <w:sz w:val="21"/>
          <w:szCs w:val="21"/>
        </w:rPr>
        <w:t>Copiii</w:t>
      </w:r>
      <w:proofErr w:type="spellEnd"/>
      <w:r w:rsidRPr="009E4EF3">
        <w:rPr>
          <w:rFonts w:cstheme="minorHAnsi"/>
          <w:color w:val="auto"/>
          <w:sz w:val="21"/>
          <w:szCs w:val="21"/>
        </w:rPr>
        <w:t xml:space="preserve"> (2018). </w:t>
      </w:r>
      <w:proofErr w:type="spellStart"/>
      <w:r w:rsidRPr="009E4EF3">
        <w:rPr>
          <w:rFonts w:cstheme="minorHAnsi"/>
          <w:i/>
          <w:color w:val="auto"/>
          <w:sz w:val="21"/>
          <w:szCs w:val="21"/>
        </w:rPr>
        <w:t>Costurile</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educatiei</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gratuite</w:t>
      </w:r>
      <w:proofErr w:type="spellEnd"/>
      <w:r w:rsidRPr="009E4EF3">
        <w:rPr>
          <w:rFonts w:cstheme="minorHAnsi"/>
          <w:i/>
          <w:color w:val="auto"/>
          <w:sz w:val="21"/>
          <w:szCs w:val="21"/>
        </w:rPr>
        <w:t xml:space="preserve">. De </w:t>
      </w:r>
      <w:proofErr w:type="spellStart"/>
      <w:r w:rsidRPr="009E4EF3">
        <w:rPr>
          <w:rFonts w:cstheme="minorHAnsi"/>
          <w:i/>
          <w:color w:val="auto"/>
          <w:sz w:val="21"/>
          <w:szCs w:val="21"/>
        </w:rPr>
        <w:t>ce</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invatamantul</w:t>
      </w:r>
      <w:proofErr w:type="spellEnd"/>
      <w:r w:rsidRPr="009E4EF3">
        <w:rPr>
          <w:rFonts w:cstheme="minorHAnsi"/>
          <w:i/>
          <w:color w:val="auto"/>
          <w:sz w:val="21"/>
          <w:szCs w:val="21"/>
        </w:rPr>
        <w:t xml:space="preserve"> </w:t>
      </w:r>
      <w:proofErr w:type="spellStart"/>
      <w:r w:rsidRPr="009E4EF3">
        <w:rPr>
          <w:rFonts w:cstheme="minorHAnsi"/>
          <w:i/>
          <w:color w:val="auto"/>
          <w:sz w:val="21"/>
          <w:szCs w:val="21"/>
        </w:rPr>
        <w:t>gratuit</w:t>
      </w:r>
      <w:proofErr w:type="spellEnd"/>
      <w:r w:rsidRPr="009E4EF3">
        <w:rPr>
          <w:rFonts w:cstheme="minorHAnsi"/>
          <w:i/>
          <w:color w:val="auto"/>
          <w:sz w:val="21"/>
          <w:szCs w:val="21"/>
        </w:rPr>
        <w:t xml:space="preserve"> costa?</w:t>
      </w:r>
      <w:r w:rsidRPr="009E4EF3">
        <w:rPr>
          <w:rFonts w:cstheme="minorHAnsi"/>
          <w:color w:val="auto"/>
          <w:sz w:val="21"/>
          <w:szCs w:val="21"/>
        </w:rPr>
        <w:t xml:space="preserve"> </w:t>
      </w:r>
      <w:proofErr w:type="spellStart"/>
      <w:r w:rsidRPr="009E4EF3">
        <w:rPr>
          <w:rFonts w:cstheme="minorHAnsi"/>
          <w:color w:val="auto"/>
          <w:sz w:val="21"/>
          <w:szCs w:val="21"/>
        </w:rPr>
        <w:t>Bucuresti</w:t>
      </w:r>
      <w:proofErr w:type="spellEnd"/>
      <w:r w:rsidR="0021099B">
        <w:rPr>
          <w:rFonts w:cstheme="minorHAnsi"/>
          <w:color w:val="auto"/>
          <w:sz w:val="21"/>
          <w:szCs w:val="21"/>
        </w:rPr>
        <w:t>.</w:t>
      </w:r>
    </w:p>
    <w:p w14:paraId="2CB308A7" w14:textId="77777777" w:rsidR="009E4EF3" w:rsidRPr="007F053F" w:rsidRDefault="009E4EF3" w:rsidP="009E4EF3">
      <w:pPr>
        <w:spacing w:before="0" w:after="0"/>
        <w:jc w:val="both"/>
        <w:rPr>
          <w:rFonts w:cstheme="minorHAnsi"/>
          <w:sz w:val="21"/>
          <w:szCs w:val="21"/>
        </w:rPr>
      </w:pPr>
    </w:p>
    <w:p w14:paraId="6B5FB1F4" w14:textId="77777777" w:rsidR="009E4EF3" w:rsidRPr="009E4EF3" w:rsidRDefault="009E4EF3" w:rsidP="009E4EF3">
      <w:pPr>
        <w:spacing w:before="0" w:after="0"/>
        <w:jc w:val="both"/>
        <w:rPr>
          <w:rFonts w:cstheme="minorHAnsi"/>
          <w:color w:val="auto"/>
          <w:sz w:val="21"/>
          <w:szCs w:val="21"/>
        </w:rPr>
      </w:pPr>
      <w:r w:rsidRPr="009E4EF3">
        <w:rPr>
          <w:rFonts w:cstheme="minorHAnsi"/>
          <w:color w:val="auto"/>
          <w:sz w:val="21"/>
          <w:szCs w:val="21"/>
        </w:rPr>
        <w:t>World Bank / Ministr</w:t>
      </w:r>
      <w:r w:rsidR="006D26FE">
        <w:rPr>
          <w:rFonts w:cstheme="minorHAnsi"/>
          <w:color w:val="auto"/>
          <w:sz w:val="21"/>
          <w:szCs w:val="21"/>
        </w:rPr>
        <w:t>y of National Education (unspecified</w:t>
      </w:r>
      <w:r w:rsidRPr="009E4EF3">
        <w:rPr>
          <w:rFonts w:cstheme="minorHAnsi"/>
          <w:color w:val="auto"/>
          <w:sz w:val="21"/>
          <w:szCs w:val="21"/>
        </w:rPr>
        <w:t xml:space="preserve"> year). “</w:t>
      </w:r>
      <w:proofErr w:type="spellStart"/>
      <w:r w:rsidRPr="009E4EF3">
        <w:rPr>
          <w:rFonts w:cstheme="minorHAnsi"/>
          <w:color w:val="auto"/>
          <w:sz w:val="21"/>
          <w:szCs w:val="21"/>
        </w:rPr>
        <w:t>Analiza</w:t>
      </w:r>
      <w:proofErr w:type="spellEnd"/>
      <w:r w:rsidRPr="009E4EF3">
        <w:rPr>
          <w:rFonts w:cstheme="minorHAnsi"/>
          <w:color w:val="auto"/>
          <w:sz w:val="21"/>
          <w:szCs w:val="21"/>
        </w:rPr>
        <w:t xml:space="preserve"> </w:t>
      </w:r>
      <w:proofErr w:type="spellStart"/>
      <w:r w:rsidRPr="009E4EF3">
        <w:rPr>
          <w:rFonts w:cstheme="minorHAnsi"/>
          <w:color w:val="auto"/>
          <w:sz w:val="21"/>
          <w:szCs w:val="21"/>
        </w:rPr>
        <w:t>multidimensională</w:t>
      </w:r>
      <w:proofErr w:type="spellEnd"/>
      <w:r w:rsidRPr="009E4EF3">
        <w:rPr>
          <w:rFonts w:cstheme="minorHAnsi"/>
          <w:color w:val="auto"/>
          <w:sz w:val="21"/>
          <w:szCs w:val="21"/>
        </w:rPr>
        <w:t xml:space="preserve"> a </w:t>
      </w:r>
      <w:proofErr w:type="spellStart"/>
      <w:r w:rsidRPr="009E4EF3">
        <w:rPr>
          <w:rFonts w:cstheme="minorHAnsi"/>
          <w:color w:val="auto"/>
          <w:sz w:val="21"/>
          <w:szCs w:val="21"/>
        </w:rPr>
        <w:t>educației</w:t>
      </w:r>
      <w:proofErr w:type="spellEnd"/>
      <w:r w:rsidRPr="009E4EF3">
        <w:rPr>
          <w:rFonts w:cstheme="minorHAnsi"/>
          <w:color w:val="auto"/>
          <w:sz w:val="21"/>
          <w:szCs w:val="21"/>
        </w:rPr>
        <w:t xml:space="preserve"> </w:t>
      </w:r>
      <w:proofErr w:type="spellStart"/>
      <w:r w:rsidRPr="009E4EF3">
        <w:rPr>
          <w:rFonts w:cstheme="minorHAnsi"/>
          <w:color w:val="auto"/>
          <w:sz w:val="21"/>
          <w:szCs w:val="21"/>
        </w:rPr>
        <w:t>și</w:t>
      </w:r>
      <w:proofErr w:type="spellEnd"/>
      <w:r w:rsidRPr="009E4EF3">
        <w:rPr>
          <w:rFonts w:cstheme="minorHAnsi"/>
          <w:color w:val="auto"/>
          <w:sz w:val="21"/>
          <w:szCs w:val="21"/>
        </w:rPr>
        <w:t xml:space="preserve"> </w:t>
      </w:r>
      <w:proofErr w:type="spellStart"/>
      <w:r w:rsidRPr="009E4EF3">
        <w:rPr>
          <w:rFonts w:cstheme="minorHAnsi"/>
          <w:color w:val="auto"/>
          <w:sz w:val="21"/>
          <w:szCs w:val="21"/>
        </w:rPr>
        <w:t>formării</w:t>
      </w:r>
      <w:proofErr w:type="spellEnd"/>
      <w:r w:rsidRPr="009E4EF3">
        <w:rPr>
          <w:rFonts w:cstheme="minorHAnsi"/>
          <w:color w:val="auto"/>
          <w:sz w:val="21"/>
          <w:szCs w:val="21"/>
        </w:rPr>
        <w:t xml:space="preserve"> </w:t>
      </w:r>
      <w:proofErr w:type="spellStart"/>
      <w:r w:rsidRPr="009E4EF3">
        <w:rPr>
          <w:rFonts w:cstheme="minorHAnsi"/>
          <w:color w:val="auto"/>
          <w:sz w:val="21"/>
          <w:szCs w:val="21"/>
        </w:rPr>
        <w:t>profesionale</w:t>
      </w:r>
      <w:proofErr w:type="spellEnd"/>
      <w:r w:rsidRPr="009E4EF3">
        <w:rPr>
          <w:rFonts w:cstheme="minorHAnsi"/>
          <w:color w:val="auto"/>
          <w:sz w:val="21"/>
          <w:szCs w:val="21"/>
        </w:rPr>
        <w:t xml:space="preserve"> din </w:t>
      </w:r>
      <w:proofErr w:type="spellStart"/>
      <w:r w:rsidRPr="009E4EF3">
        <w:rPr>
          <w:rFonts w:cstheme="minorHAnsi"/>
          <w:color w:val="auto"/>
          <w:sz w:val="21"/>
          <w:szCs w:val="21"/>
        </w:rPr>
        <w:t>perspectiva</w:t>
      </w:r>
      <w:proofErr w:type="spellEnd"/>
      <w:r w:rsidRPr="009E4EF3">
        <w:rPr>
          <w:rFonts w:cstheme="minorHAnsi"/>
          <w:color w:val="auto"/>
          <w:sz w:val="21"/>
          <w:szCs w:val="21"/>
        </w:rPr>
        <w:t xml:space="preserve"> </w:t>
      </w:r>
      <w:proofErr w:type="spellStart"/>
      <w:r w:rsidRPr="009E4EF3">
        <w:rPr>
          <w:rFonts w:cstheme="minorHAnsi"/>
          <w:color w:val="auto"/>
          <w:sz w:val="21"/>
          <w:szCs w:val="21"/>
        </w:rPr>
        <w:t>utilizării</w:t>
      </w:r>
      <w:proofErr w:type="spellEnd"/>
      <w:r w:rsidRPr="009E4EF3">
        <w:rPr>
          <w:rFonts w:cstheme="minorHAnsi"/>
          <w:color w:val="auto"/>
          <w:sz w:val="21"/>
          <w:szCs w:val="21"/>
        </w:rPr>
        <w:t xml:space="preserve"> </w:t>
      </w:r>
      <w:proofErr w:type="spellStart"/>
      <w:r w:rsidRPr="009E4EF3">
        <w:rPr>
          <w:rFonts w:cstheme="minorHAnsi"/>
          <w:color w:val="auto"/>
          <w:sz w:val="21"/>
          <w:szCs w:val="21"/>
        </w:rPr>
        <w:t>datelor</w:t>
      </w:r>
      <w:proofErr w:type="spellEnd"/>
      <w:r w:rsidRPr="009E4EF3">
        <w:rPr>
          <w:rFonts w:cstheme="minorHAnsi"/>
          <w:color w:val="auto"/>
          <w:sz w:val="21"/>
          <w:szCs w:val="21"/>
        </w:rPr>
        <w:t xml:space="preserve"> </w:t>
      </w:r>
      <w:proofErr w:type="spellStart"/>
      <w:r w:rsidRPr="009E4EF3">
        <w:rPr>
          <w:rFonts w:cstheme="minorHAnsi"/>
          <w:color w:val="auto"/>
          <w:sz w:val="21"/>
          <w:szCs w:val="21"/>
        </w:rPr>
        <w:t>în</w:t>
      </w:r>
      <w:proofErr w:type="spellEnd"/>
      <w:r w:rsidRPr="009E4EF3">
        <w:rPr>
          <w:rFonts w:cstheme="minorHAnsi"/>
          <w:color w:val="auto"/>
          <w:sz w:val="21"/>
          <w:szCs w:val="21"/>
        </w:rPr>
        <w:t xml:space="preserve"> </w:t>
      </w:r>
      <w:proofErr w:type="spellStart"/>
      <w:r w:rsidRPr="009E4EF3">
        <w:rPr>
          <w:rFonts w:cstheme="minorHAnsi"/>
          <w:color w:val="auto"/>
          <w:sz w:val="21"/>
          <w:szCs w:val="21"/>
        </w:rPr>
        <w:t>luarea</w:t>
      </w:r>
      <w:proofErr w:type="spellEnd"/>
      <w:r w:rsidRPr="009E4EF3">
        <w:rPr>
          <w:rFonts w:cstheme="minorHAnsi"/>
          <w:color w:val="auto"/>
          <w:sz w:val="21"/>
          <w:szCs w:val="21"/>
        </w:rPr>
        <w:t xml:space="preserve"> </w:t>
      </w:r>
      <w:proofErr w:type="spellStart"/>
      <w:r w:rsidRPr="009E4EF3">
        <w:rPr>
          <w:rFonts w:cstheme="minorHAnsi"/>
          <w:color w:val="auto"/>
          <w:sz w:val="21"/>
          <w:szCs w:val="21"/>
        </w:rPr>
        <w:t>deciziilor</w:t>
      </w:r>
      <w:proofErr w:type="spellEnd"/>
      <w:r w:rsidRPr="009E4EF3">
        <w:rPr>
          <w:rFonts w:cstheme="minorHAnsi"/>
          <w:color w:val="auto"/>
          <w:sz w:val="21"/>
          <w:szCs w:val="21"/>
        </w:rPr>
        <w:t xml:space="preserve"> </w:t>
      </w:r>
      <w:proofErr w:type="spellStart"/>
      <w:r w:rsidRPr="009E4EF3">
        <w:rPr>
          <w:rFonts w:cstheme="minorHAnsi"/>
          <w:color w:val="auto"/>
          <w:sz w:val="21"/>
          <w:szCs w:val="21"/>
        </w:rPr>
        <w:t>strategice</w:t>
      </w:r>
      <w:proofErr w:type="spellEnd"/>
      <w:r w:rsidRPr="009E4EF3">
        <w:rPr>
          <w:rFonts w:cstheme="minorHAnsi"/>
          <w:color w:val="auto"/>
          <w:sz w:val="21"/>
          <w:szCs w:val="21"/>
        </w:rPr>
        <w:t xml:space="preserve"> </w:t>
      </w:r>
      <w:proofErr w:type="spellStart"/>
      <w:r w:rsidRPr="009E4EF3">
        <w:rPr>
          <w:rFonts w:cstheme="minorHAnsi"/>
          <w:color w:val="auto"/>
          <w:sz w:val="21"/>
          <w:szCs w:val="21"/>
        </w:rPr>
        <w:t>privind</w:t>
      </w:r>
      <w:proofErr w:type="spellEnd"/>
      <w:r w:rsidRPr="009E4EF3">
        <w:rPr>
          <w:rFonts w:cstheme="minorHAnsi"/>
          <w:color w:val="auto"/>
          <w:sz w:val="21"/>
          <w:szCs w:val="21"/>
        </w:rPr>
        <w:t xml:space="preserve"> </w:t>
      </w:r>
      <w:proofErr w:type="spellStart"/>
      <w:r w:rsidRPr="009E4EF3">
        <w:rPr>
          <w:rFonts w:cstheme="minorHAnsi"/>
          <w:color w:val="auto"/>
          <w:sz w:val="21"/>
          <w:szCs w:val="21"/>
        </w:rPr>
        <w:t>investițiile</w:t>
      </w:r>
      <w:proofErr w:type="spellEnd"/>
      <w:r w:rsidRPr="009E4EF3">
        <w:rPr>
          <w:rFonts w:cstheme="minorHAnsi"/>
          <w:color w:val="auto"/>
          <w:sz w:val="21"/>
          <w:szCs w:val="21"/>
        </w:rPr>
        <w:t xml:space="preserve"> </w:t>
      </w:r>
      <w:proofErr w:type="spellStart"/>
      <w:r w:rsidRPr="009E4EF3">
        <w:rPr>
          <w:rFonts w:cstheme="minorHAnsi"/>
          <w:color w:val="auto"/>
          <w:sz w:val="21"/>
          <w:szCs w:val="21"/>
        </w:rPr>
        <w:t>în</w:t>
      </w:r>
      <w:proofErr w:type="spellEnd"/>
      <w:r w:rsidRPr="009E4EF3">
        <w:rPr>
          <w:rFonts w:cstheme="minorHAnsi"/>
          <w:color w:val="auto"/>
          <w:sz w:val="21"/>
          <w:szCs w:val="21"/>
        </w:rPr>
        <w:t xml:space="preserve"> </w:t>
      </w:r>
      <w:proofErr w:type="spellStart"/>
      <w:r w:rsidRPr="009E4EF3">
        <w:rPr>
          <w:rFonts w:cstheme="minorHAnsi"/>
          <w:color w:val="auto"/>
          <w:sz w:val="21"/>
          <w:szCs w:val="21"/>
        </w:rPr>
        <w:t>infrastructură</w:t>
      </w:r>
      <w:proofErr w:type="spellEnd"/>
      <w:r w:rsidRPr="009E4EF3">
        <w:rPr>
          <w:rFonts w:cstheme="minorHAnsi"/>
          <w:color w:val="auto"/>
          <w:sz w:val="21"/>
          <w:szCs w:val="21"/>
        </w:rPr>
        <w:t>”</w:t>
      </w:r>
    </w:p>
    <w:p w14:paraId="513ABBD3" w14:textId="77777777" w:rsidR="009E4EF3" w:rsidRPr="009E4EF3" w:rsidRDefault="003A63FC" w:rsidP="009E4EF3">
      <w:pPr>
        <w:spacing w:before="0" w:after="0"/>
        <w:jc w:val="both"/>
        <w:rPr>
          <w:rFonts w:cstheme="minorHAnsi"/>
          <w:color w:val="auto"/>
          <w:sz w:val="21"/>
          <w:szCs w:val="21"/>
        </w:rPr>
      </w:pPr>
      <w:hyperlink r:id="rId20" w:history="1">
        <w:r w:rsidR="009E4EF3" w:rsidRPr="007F053F">
          <w:rPr>
            <w:rStyle w:val="Hyperlink"/>
            <w:rFonts w:cstheme="minorHAnsi"/>
            <w:sz w:val="21"/>
            <w:szCs w:val="21"/>
          </w:rPr>
          <w:t>https://www.edu.ro/sites/default/files/Anexa%201_Analiza%20functionala_0.pdf</w:t>
        </w:r>
      </w:hyperlink>
      <w:r w:rsidR="009E4EF3" w:rsidRPr="007F053F">
        <w:rPr>
          <w:rFonts w:cstheme="minorHAnsi"/>
          <w:sz w:val="21"/>
          <w:szCs w:val="21"/>
        </w:rPr>
        <w:t xml:space="preserve">   </w:t>
      </w:r>
      <w:r w:rsidR="009E4EF3" w:rsidRPr="009E4EF3">
        <w:rPr>
          <w:rFonts w:cstheme="minorHAnsi"/>
          <w:color w:val="auto"/>
          <w:sz w:val="21"/>
          <w:szCs w:val="21"/>
        </w:rPr>
        <w:t>(accessed 08.06.2020)</w:t>
      </w:r>
      <w:r w:rsidR="0021099B">
        <w:rPr>
          <w:rFonts w:cstheme="minorHAnsi"/>
          <w:color w:val="auto"/>
          <w:sz w:val="21"/>
          <w:szCs w:val="21"/>
        </w:rPr>
        <w:t>.</w:t>
      </w:r>
    </w:p>
    <w:p w14:paraId="554473EE" w14:textId="77777777" w:rsidR="009E4EF3" w:rsidRPr="007F053F" w:rsidRDefault="009E4EF3" w:rsidP="009E4EF3">
      <w:pPr>
        <w:spacing w:before="0" w:after="0"/>
        <w:rPr>
          <w:rFonts w:cstheme="minorHAnsi"/>
          <w:sz w:val="21"/>
          <w:szCs w:val="21"/>
        </w:rPr>
      </w:pPr>
    </w:p>
    <w:p w14:paraId="3E2048FA" w14:textId="77777777" w:rsidR="009E4EF3" w:rsidRPr="009E4EF3" w:rsidRDefault="009E4EF3" w:rsidP="009E4EF3">
      <w:pPr>
        <w:spacing w:before="0" w:after="0"/>
        <w:rPr>
          <w:rFonts w:cstheme="minorHAnsi"/>
          <w:b/>
          <w:color w:val="auto"/>
          <w:sz w:val="21"/>
          <w:szCs w:val="21"/>
        </w:rPr>
      </w:pPr>
      <w:r w:rsidRPr="009E4EF3">
        <w:rPr>
          <w:rFonts w:cstheme="minorHAnsi"/>
          <w:b/>
          <w:color w:val="auto"/>
          <w:sz w:val="21"/>
          <w:szCs w:val="21"/>
        </w:rPr>
        <w:t>Eurostat links:</w:t>
      </w:r>
    </w:p>
    <w:p w14:paraId="779C7EA7" w14:textId="77777777" w:rsidR="009E4EF3" w:rsidRPr="007F053F" w:rsidRDefault="003A63FC" w:rsidP="009E4EF3">
      <w:pPr>
        <w:spacing w:before="0" w:after="0"/>
        <w:jc w:val="both"/>
        <w:rPr>
          <w:rStyle w:val="Hyperlink"/>
          <w:rFonts w:cstheme="minorHAnsi"/>
          <w:color w:val="auto"/>
          <w:sz w:val="21"/>
          <w:szCs w:val="21"/>
        </w:rPr>
      </w:pPr>
      <w:hyperlink r:id="rId21" w:history="1">
        <w:r w:rsidR="009E4EF3" w:rsidRPr="007F053F">
          <w:rPr>
            <w:rStyle w:val="Hyperlink"/>
            <w:rFonts w:cstheme="minorHAnsi"/>
            <w:sz w:val="21"/>
            <w:szCs w:val="21"/>
          </w:rPr>
          <w:t>https://ec.europa.eu/eurostat/statistics-explained/index.php?title=File:2018data_Early_school_leavers-02.jpg</w:t>
        </w:r>
      </w:hyperlink>
      <w:r w:rsidR="009E4EF3" w:rsidRPr="007F053F">
        <w:rPr>
          <w:rStyle w:val="Hyperlink"/>
          <w:rFonts w:cstheme="minorHAnsi"/>
          <w:sz w:val="21"/>
          <w:szCs w:val="21"/>
        </w:rPr>
        <w:t xml:space="preserve"> </w:t>
      </w:r>
    </w:p>
    <w:p w14:paraId="49B3B2B8" w14:textId="77777777" w:rsidR="009E4EF3" w:rsidRPr="0021099B" w:rsidRDefault="009E4EF3" w:rsidP="009E4EF3">
      <w:pPr>
        <w:spacing w:before="0" w:after="0"/>
        <w:jc w:val="both"/>
        <w:rPr>
          <w:rStyle w:val="Hyperlink"/>
          <w:rFonts w:cstheme="minorHAnsi"/>
          <w:color w:val="auto"/>
          <w:sz w:val="21"/>
          <w:szCs w:val="21"/>
          <w:u w:val="none"/>
        </w:rPr>
      </w:pPr>
      <w:r w:rsidRPr="0021099B">
        <w:rPr>
          <w:rStyle w:val="Hyperlink"/>
          <w:rFonts w:cstheme="minorHAnsi"/>
          <w:color w:val="auto"/>
          <w:sz w:val="21"/>
          <w:szCs w:val="21"/>
          <w:u w:val="none"/>
        </w:rPr>
        <w:t>(accessed 02.06.2020)</w:t>
      </w:r>
      <w:r w:rsidR="0021099B">
        <w:rPr>
          <w:rStyle w:val="Hyperlink"/>
          <w:rFonts w:cstheme="minorHAnsi"/>
          <w:color w:val="auto"/>
          <w:sz w:val="21"/>
          <w:szCs w:val="21"/>
          <w:u w:val="none"/>
        </w:rPr>
        <w:t>.</w:t>
      </w:r>
    </w:p>
    <w:p w14:paraId="0DDC25F9" w14:textId="77777777" w:rsidR="009E4EF3" w:rsidRPr="007F053F" w:rsidRDefault="009E4EF3" w:rsidP="009E4EF3">
      <w:pPr>
        <w:spacing w:before="0" w:after="0"/>
        <w:jc w:val="both"/>
        <w:rPr>
          <w:rFonts w:cstheme="minorHAnsi"/>
          <w:sz w:val="21"/>
          <w:szCs w:val="21"/>
        </w:rPr>
      </w:pPr>
    </w:p>
    <w:p w14:paraId="51A96EDD" w14:textId="77777777" w:rsidR="009E4EF3" w:rsidRPr="007F053F" w:rsidRDefault="003A63FC" w:rsidP="009E4EF3">
      <w:pPr>
        <w:spacing w:before="0" w:after="0"/>
        <w:jc w:val="both"/>
        <w:rPr>
          <w:rFonts w:cstheme="minorHAnsi"/>
          <w:sz w:val="21"/>
          <w:szCs w:val="21"/>
        </w:rPr>
      </w:pPr>
      <w:hyperlink r:id="rId22" w:anchor="Overview" w:history="1">
        <w:r w:rsidR="009E4EF3" w:rsidRPr="007F053F">
          <w:rPr>
            <w:rStyle w:val="Hyperlink"/>
            <w:rFonts w:cstheme="minorHAnsi"/>
            <w:sz w:val="21"/>
            <w:szCs w:val="21"/>
          </w:rPr>
          <w:t>https://ec.europa.eu/eurostat/statistics-explained/index.php/Early_leavers_from_education_and_training#Overview</w:t>
        </w:r>
      </w:hyperlink>
      <w:r w:rsidR="009E4EF3" w:rsidRPr="0021099B">
        <w:rPr>
          <w:rStyle w:val="Hyperlink"/>
          <w:rFonts w:cstheme="minorHAnsi"/>
          <w:sz w:val="21"/>
          <w:szCs w:val="21"/>
          <w:u w:val="none"/>
        </w:rPr>
        <w:t xml:space="preserve"> </w:t>
      </w:r>
      <w:r w:rsidR="009E4EF3" w:rsidRPr="0021099B">
        <w:rPr>
          <w:rStyle w:val="Hyperlink"/>
          <w:rFonts w:cstheme="minorHAnsi"/>
          <w:color w:val="auto"/>
          <w:sz w:val="21"/>
          <w:szCs w:val="21"/>
          <w:u w:val="none"/>
        </w:rPr>
        <w:t xml:space="preserve"> (accessed 02.06.2020)</w:t>
      </w:r>
      <w:r w:rsidR="0021099B">
        <w:rPr>
          <w:rStyle w:val="Hyperlink"/>
          <w:rFonts w:cstheme="minorHAnsi"/>
          <w:color w:val="auto"/>
          <w:sz w:val="21"/>
          <w:szCs w:val="21"/>
          <w:u w:val="none"/>
        </w:rPr>
        <w:t>.</w:t>
      </w:r>
    </w:p>
    <w:p w14:paraId="6C0EF0F8" w14:textId="77777777" w:rsidR="009E4EF3" w:rsidRPr="007F053F" w:rsidRDefault="009E4EF3" w:rsidP="009E4EF3">
      <w:pPr>
        <w:spacing w:before="0" w:after="0"/>
        <w:rPr>
          <w:rFonts w:cstheme="minorHAnsi"/>
          <w:sz w:val="21"/>
          <w:szCs w:val="21"/>
        </w:rPr>
      </w:pPr>
    </w:p>
    <w:p w14:paraId="143F4E63" w14:textId="77777777" w:rsidR="009E4EF3" w:rsidRPr="0021099B" w:rsidRDefault="003A63FC" w:rsidP="009E4EF3">
      <w:pPr>
        <w:spacing w:before="0" w:after="0"/>
        <w:rPr>
          <w:rFonts w:cstheme="minorHAnsi"/>
          <w:sz w:val="21"/>
          <w:szCs w:val="21"/>
        </w:rPr>
      </w:pPr>
      <w:hyperlink r:id="rId23" w:history="1">
        <w:r w:rsidR="009E4EF3" w:rsidRPr="0021099B">
          <w:rPr>
            <w:rStyle w:val="Hyperlink"/>
            <w:rFonts w:cstheme="minorHAnsi"/>
            <w:sz w:val="21"/>
            <w:szCs w:val="21"/>
          </w:rPr>
          <w:t>https://ec.europa.eu/eurostat/statistics-explained/index.php?title=File:Distribution_of_early_leavers_from_education_and_training_aged_18-24_by_labour_status,_2019_(%25_of_population_aged_18-24).png</w:t>
        </w:r>
      </w:hyperlink>
      <w:r w:rsidR="009E4EF3" w:rsidRPr="0021099B">
        <w:rPr>
          <w:rStyle w:val="Hyperlink"/>
          <w:rFonts w:cstheme="minorHAnsi"/>
          <w:sz w:val="21"/>
          <w:szCs w:val="21"/>
          <w:u w:val="none"/>
        </w:rPr>
        <w:t xml:space="preserve">   </w:t>
      </w:r>
      <w:r w:rsidR="009E4EF3" w:rsidRPr="0021099B">
        <w:rPr>
          <w:rStyle w:val="Hyperlink"/>
          <w:rFonts w:cstheme="minorHAnsi"/>
          <w:color w:val="auto"/>
          <w:sz w:val="21"/>
          <w:szCs w:val="21"/>
          <w:u w:val="none"/>
        </w:rPr>
        <w:t>(accessed 05.06.2020)</w:t>
      </w:r>
      <w:r w:rsidR="0021099B">
        <w:rPr>
          <w:rStyle w:val="Hyperlink"/>
          <w:rFonts w:cstheme="minorHAnsi"/>
          <w:color w:val="auto"/>
          <w:sz w:val="21"/>
          <w:szCs w:val="21"/>
          <w:u w:val="none"/>
        </w:rPr>
        <w:t>.</w:t>
      </w:r>
    </w:p>
    <w:p w14:paraId="5BAEDBD8" w14:textId="77777777" w:rsidR="0021099B" w:rsidRPr="0021099B" w:rsidRDefault="0021099B" w:rsidP="009E4EF3">
      <w:pPr>
        <w:pStyle w:val="FootnoteText"/>
        <w:rPr>
          <w:rFonts w:cstheme="minorHAnsi"/>
          <w:sz w:val="21"/>
          <w:szCs w:val="21"/>
        </w:rPr>
      </w:pPr>
    </w:p>
    <w:p w14:paraId="5E34C9EE" w14:textId="77777777" w:rsidR="0021099B" w:rsidRPr="0021099B" w:rsidRDefault="003A63FC" w:rsidP="0021099B">
      <w:pPr>
        <w:spacing w:before="0" w:after="0"/>
        <w:rPr>
          <w:rFonts w:asciiTheme="minorHAnsi" w:hAnsiTheme="minorHAnsi" w:cstheme="minorHAnsi"/>
          <w:sz w:val="21"/>
          <w:szCs w:val="21"/>
          <w:vertAlign w:val="superscript"/>
        </w:rPr>
      </w:pPr>
      <w:hyperlink r:id="rId24" w:history="1">
        <w:r w:rsidR="0021099B" w:rsidRPr="0021099B">
          <w:rPr>
            <w:rStyle w:val="Hyperlink"/>
            <w:rFonts w:asciiTheme="minorHAnsi" w:hAnsiTheme="minorHAnsi" w:cstheme="minorHAnsi"/>
            <w:sz w:val="21"/>
            <w:szCs w:val="21"/>
          </w:rPr>
          <w:t>https://appsso.eurostat.ec.europa.eu/nui/show.do?dataset=edat_lfse_30&amp;lang=en</w:t>
        </w:r>
      </w:hyperlink>
      <w:r w:rsidR="0021099B" w:rsidRPr="0021099B">
        <w:rPr>
          <w:rStyle w:val="Hyperlink"/>
          <w:rFonts w:asciiTheme="minorHAnsi" w:hAnsiTheme="minorHAnsi" w:cstheme="minorHAnsi"/>
          <w:sz w:val="21"/>
          <w:szCs w:val="21"/>
        </w:rPr>
        <w:t xml:space="preserve"> </w:t>
      </w:r>
      <w:r w:rsidR="0021099B" w:rsidRPr="0021099B">
        <w:rPr>
          <w:rStyle w:val="Hyperlink"/>
          <w:rFonts w:asciiTheme="minorHAnsi" w:hAnsiTheme="minorHAnsi" w:cstheme="minorHAnsi"/>
          <w:sz w:val="21"/>
          <w:szCs w:val="21"/>
          <w:u w:val="none"/>
        </w:rPr>
        <w:t xml:space="preserve"> </w:t>
      </w:r>
      <w:r w:rsidR="0021099B" w:rsidRPr="0021099B">
        <w:rPr>
          <w:rStyle w:val="Hyperlink"/>
          <w:rFonts w:asciiTheme="minorHAnsi" w:hAnsiTheme="minorHAnsi" w:cstheme="minorHAnsi"/>
          <w:color w:val="auto"/>
          <w:sz w:val="21"/>
          <w:szCs w:val="21"/>
          <w:u w:val="none"/>
        </w:rPr>
        <w:t>(accessed 05.06.2020).</w:t>
      </w:r>
      <w:hyperlink r:id="rId25" w:history="1"/>
    </w:p>
    <w:p w14:paraId="2A338ED9" w14:textId="77777777" w:rsidR="009E4EF3" w:rsidRPr="0021099B" w:rsidRDefault="009E4EF3" w:rsidP="009E4EF3">
      <w:pPr>
        <w:pStyle w:val="FootnoteText"/>
        <w:rPr>
          <w:rFonts w:cstheme="minorHAnsi"/>
          <w:sz w:val="21"/>
          <w:szCs w:val="21"/>
        </w:rPr>
      </w:pPr>
    </w:p>
    <w:p w14:paraId="16FBD714" w14:textId="77777777" w:rsidR="009E4EF3" w:rsidRPr="0021099B" w:rsidRDefault="003A63FC" w:rsidP="009E4EF3">
      <w:pPr>
        <w:pStyle w:val="FootnoteText"/>
        <w:rPr>
          <w:rStyle w:val="Hyperlink"/>
          <w:rFonts w:cstheme="minorHAnsi"/>
          <w:color w:val="auto"/>
          <w:sz w:val="21"/>
          <w:szCs w:val="21"/>
          <w:u w:val="none"/>
        </w:rPr>
      </w:pPr>
      <w:hyperlink r:id="rId26" w:history="1">
        <w:r w:rsidR="009E4EF3" w:rsidRPr="0021099B">
          <w:rPr>
            <w:rStyle w:val="Hyperlink"/>
            <w:rFonts w:cstheme="minorHAnsi"/>
            <w:sz w:val="21"/>
            <w:szCs w:val="21"/>
          </w:rPr>
          <w:t>https://ec.europa.eu/eurostat/statistics-explained/index.php?title=File:Young_people_(aged_20%E2%80%9334)_neither_in_employment_nor_in_education_and_training,_by_sex_and_age,_2019_(%25).png</w:t>
        </w:r>
      </w:hyperlink>
      <w:r w:rsidR="009E4EF3" w:rsidRPr="0021099B">
        <w:rPr>
          <w:rStyle w:val="Hyperlink"/>
          <w:rFonts w:cstheme="minorHAnsi"/>
          <w:sz w:val="21"/>
          <w:szCs w:val="21"/>
          <w:u w:val="none"/>
        </w:rPr>
        <w:t xml:space="preserve">   </w:t>
      </w:r>
      <w:r w:rsidR="009E4EF3" w:rsidRPr="0021099B">
        <w:rPr>
          <w:rStyle w:val="Hyperlink"/>
          <w:rFonts w:cstheme="minorHAnsi"/>
          <w:color w:val="auto"/>
          <w:sz w:val="21"/>
          <w:szCs w:val="21"/>
          <w:u w:val="none"/>
        </w:rPr>
        <w:t>(accessed 06.06.2020)</w:t>
      </w:r>
      <w:r w:rsidR="0021099B">
        <w:rPr>
          <w:rStyle w:val="Hyperlink"/>
          <w:rFonts w:cstheme="minorHAnsi"/>
          <w:color w:val="auto"/>
          <w:sz w:val="21"/>
          <w:szCs w:val="21"/>
          <w:u w:val="none"/>
        </w:rPr>
        <w:t>.</w:t>
      </w:r>
    </w:p>
    <w:p w14:paraId="5676CF3D" w14:textId="77777777" w:rsidR="009E4EF3" w:rsidRPr="007F053F" w:rsidRDefault="009E4EF3" w:rsidP="009E4EF3">
      <w:pPr>
        <w:pStyle w:val="FootnoteText"/>
        <w:rPr>
          <w:rFonts w:cstheme="minorHAnsi"/>
          <w:sz w:val="21"/>
          <w:szCs w:val="21"/>
        </w:rPr>
      </w:pPr>
    </w:p>
    <w:p w14:paraId="26F9411C" w14:textId="77777777" w:rsidR="009E4EF3" w:rsidRPr="007F053F" w:rsidRDefault="003A63FC" w:rsidP="009E4EF3">
      <w:pPr>
        <w:pStyle w:val="FootnoteText"/>
        <w:rPr>
          <w:rFonts w:cstheme="minorHAnsi"/>
          <w:sz w:val="21"/>
          <w:szCs w:val="21"/>
        </w:rPr>
      </w:pPr>
      <w:hyperlink r:id="rId27" w:history="1">
        <w:r w:rsidR="009E4EF3" w:rsidRPr="007F053F">
          <w:rPr>
            <w:rStyle w:val="Hyperlink"/>
            <w:rFonts w:cstheme="minorHAnsi"/>
            <w:sz w:val="21"/>
            <w:szCs w:val="21"/>
          </w:rPr>
          <w:t>https://ec.europa.eu/eurostat/statistics-explained/index.php?title=File:Young_people_(aged_20%E2%80%9334)_neither_in_employment_nor_in_education_and_training,_by_degree_of_urbanisation,_2019_(%25).png</w:t>
        </w:r>
      </w:hyperlink>
      <w:r w:rsidR="009E4EF3" w:rsidRPr="007F053F">
        <w:rPr>
          <w:rFonts w:cstheme="minorHAnsi"/>
          <w:sz w:val="21"/>
          <w:szCs w:val="21"/>
        </w:rPr>
        <w:t xml:space="preserve">  </w:t>
      </w:r>
      <w:r w:rsidR="009E4EF3" w:rsidRPr="0021099B">
        <w:rPr>
          <w:rStyle w:val="Hyperlink"/>
          <w:rFonts w:cstheme="minorHAnsi"/>
          <w:color w:val="auto"/>
          <w:sz w:val="21"/>
          <w:szCs w:val="21"/>
          <w:u w:val="none"/>
        </w:rPr>
        <w:t>(accessed 06.06.2020)</w:t>
      </w:r>
      <w:r w:rsidR="0021099B">
        <w:rPr>
          <w:rStyle w:val="Hyperlink"/>
          <w:rFonts w:cstheme="minorHAnsi"/>
          <w:color w:val="auto"/>
          <w:sz w:val="21"/>
          <w:szCs w:val="21"/>
          <w:u w:val="none"/>
        </w:rPr>
        <w:t>.</w:t>
      </w:r>
    </w:p>
    <w:p w14:paraId="4343A2DE" w14:textId="77777777" w:rsidR="009E4EF3" w:rsidRPr="007F053F" w:rsidRDefault="009E4EF3" w:rsidP="009E4EF3">
      <w:pPr>
        <w:spacing w:before="0" w:after="0"/>
        <w:rPr>
          <w:rFonts w:cstheme="minorHAnsi"/>
          <w:sz w:val="21"/>
          <w:szCs w:val="21"/>
        </w:rPr>
      </w:pPr>
    </w:p>
    <w:p w14:paraId="14CBF45F" w14:textId="77777777" w:rsidR="009E4EF3" w:rsidRPr="007F053F" w:rsidRDefault="003A63FC" w:rsidP="009E4EF3">
      <w:pPr>
        <w:spacing w:before="0" w:after="0"/>
        <w:rPr>
          <w:rFonts w:cstheme="minorHAnsi"/>
          <w:sz w:val="21"/>
          <w:szCs w:val="21"/>
        </w:rPr>
      </w:pPr>
      <w:hyperlink r:id="rId28" w:history="1">
        <w:r w:rsidR="009E4EF3" w:rsidRPr="007F053F">
          <w:rPr>
            <w:rStyle w:val="Hyperlink"/>
            <w:rFonts w:cstheme="minorHAnsi"/>
            <w:sz w:val="21"/>
            <w:szCs w:val="21"/>
          </w:rPr>
          <w:t>https://ec.europa.eu/eurostat/statistics-explained/index.php?title=File:Employment_rates_of_recent_graduates_(aged_20%E2%80%9334)_not_in_education_and_training,_2019_(%25).png</w:t>
        </w:r>
      </w:hyperlink>
      <w:r w:rsidR="009E4EF3" w:rsidRPr="0021099B">
        <w:rPr>
          <w:rStyle w:val="Hyperlink"/>
          <w:rFonts w:cstheme="minorHAnsi"/>
          <w:sz w:val="21"/>
          <w:szCs w:val="21"/>
          <w:u w:val="none"/>
        </w:rPr>
        <w:t xml:space="preserve">  </w:t>
      </w:r>
      <w:r w:rsidR="009E4EF3" w:rsidRPr="0021099B">
        <w:rPr>
          <w:rStyle w:val="Hyperlink"/>
          <w:rFonts w:cstheme="minorHAnsi"/>
          <w:color w:val="auto"/>
          <w:sz w:val="21"/>
          <w:szCs w:val="21"/>
          <w:u w:val="none"/>
        </w:rPr>
        <w:t>(accessed 06.06.2020)</w:t>
      </w:r>
      <w:r w:rsidR="0021099B">
        <w:rPr>
          <w:rStyle w:val="Hyperlink"/>
          <w:rFonts w:cstheme="minorHAnsi"/>
          <w:color w:val="auto"/>
          <w:sz w:val="21"/>
          <w:szCs w:val="21"/>
          <w:u w:val="none"/>
        </w:rPr>
        <w:t>.</w:t>
      </w:r>
    </w:p>
    <w:p w14:paraId="6F6A8C31" w14:textId="77777777" w:rsidR="009E4EF3" w:rsidRPr="007F053F" w:rsidRDefault="009E4EF3" w:rsidP="009E4EF3">
      <w:pPr>
        <w:spacing w:before="0" w:after="0"/>
        <w:rPr>
          <w:rFonts w:cstheme="minorHAnsi"/>
          <w:sz w:val="21"/>
          <w:szCs w:val="21"/>
        </w:rPr>
      </w:pPr>
    </w:p>
    <w:p w14:paraId="65913008" w14:textId="77777777" w:rsidR="009E4EF3" w:rsidRPr="007F053F" w:rsidRDefault="009E4EF3" w:rsidP="009E4EF3">
      <w:pPr>
        <w:pStyle w:val="ListParagraph"/>
        <w:tabs>
          <w:tab w:val="left" w:pos="4055"/>
        </w:tabs>
        <w:spacing w:after="0" w:line="240" w:lineRule="auto"/>
        <w:ind w:left="405"/>
        <w:jc w:val="both"/>
        <w:rPr>
          <w:rFonts w:cstheme="minorHAnsi"/>
          <w:sz w:val="21"/>
          <w:szCs w:val="21"/>
        </w:rPr>
      </w:pPr>
    </w:p>
    <w:p w14:paraId="0DEC830B" w14:textId="77777777" w:rsidR="00145A9D" w:rsidRDefault="00145A9D" w:rsidP="00975343">
      <w:pPr>
        <w:spacing w:before="0" w:after="0"/>
        <w:ind w:right="301"/>
        <w:rPr>
          <w:lang w:val="hu-HU"/>
        </w:rPr>
      </w:pPr>
    </w:p>
    <w:sectPr w:rsidR="00145A9D">
      <w:footerReference w:type="default" r:id="rId29"/>
      <w:pgSz w:w="11906" w:h="16838"/>
      <w:pgMar w:top="2098" w:right="964" w:bottom="1984" w:left="1321"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94CD" w14:textId="77777777" w:rsidR="003A63FC" w:rsidRDefault="003A63FC">
      <w:pPr>
        <w:spacing w:before="0" w:after="0"/>
      </w:pPr>
      <w:r>
        <w:separator/>
      </w:r>
    </w:p>
  </w:endnote>
  <w:endnote w:type="continuationSeparator" w:id="0">
    <w:p w14:paraId="54B27224" w14:textId="77777777" w:rsidR="003A63FC" w:rsidRDefault="003A63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onio">
    <w:altName w:val="Calibri"/>
    <w:panose1 w:val="02000303000000000000"/>
    <w:charset w:val="00"/>
    <w:family w:val="auto"/>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9DFA" w14:textId="77777777" w:rsidR="00D37FC3" w:rsidRDefault="00D37FC3">
    <w:pPr>
      <w:pStyle w:val="Footer"/>
    </w:pPr>
    <w:r>
      <w:rPr>
        <w:noProof/>
        <w:lang w:eastAsia="en-US"/>
      </w:rPr>
      <mc:AlternateContent>
        <mc:Choice Requires="wps">
          <w:drawing>
            <wp:anchor distT="0" distB="0" distL="114300" distR="114300" simplePos="0" relativeHeight="251659264" behindDoc="0" locked="0" layoutInCell="1" allowOverlap="1" wp14:anchorId="08482625" wp14:editId="0328B09E">
              <wp:simplePos x="0" y="0"/>
              <wp:positionH relativeFrom="margin">
                <wp:align>left</wp:align>
              </wp:positionH>
              <wp:positionV relativeFrom="paragraph">
                <wp:posOffset>0</wp:posOffset>
              </wp:positionV>
              <wp:extent cx="234950" cy="1828800"/>
              <wp:effectExtent l="0" t="0" r="12700" b="1270"/>
              <wp:wrapNone/>
              <wp:docPr id="4" name="Text Box 4"/>
              <wp:cNvGraphicFramePr/>
              <a:graphic xmlns:a="http://schemas.openxmlformats.org/drawingml/2006/main">
                <a:graphicData uri="http://schemas.microsoft.com/office/word/2010/wordprocessingShape">
                  <wps:wsp>
                    <wps:cNvSpPr txBox="1"/>
                    <wps:spPr>
                      <a:xfrm>
                        <a:off x="0" y="0"/>
                        <a:ext cx="2349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3CF44F" w14:textId="77777777" w:rsidR="00D37FC3" w:rsidRPr="002328BF" w:rsidRDefault="00D37FC3">
                          <w:pPr>
                            <w:pStyle w:val="Footer"/>
                            <w:rPr>
                              <w:rFonts w:asciiTheme="minorHAnsi" w:hAnsiTheme="minorHAnsi" w:cstheme="minorHAnsi"/>
                              <w:b/>
                              <w:bCs/>
                              <w:color w:val="243668"/>
                              <w:sz w:val="20"/>
                              <w:szCs w:val="20"/>
                              <w:lang w:val="hu-HU"/>
                            </w:rPr>
                          </w:pPr>
                          <w:r w:rsidRPr="002328BF">
                            <w:rPr>
                              <w:rFonts w:asciiTheme="minorHAnsi" w:hAnsiTheme="minorHAnsi" w:cstheme="minorHAnsi"/>
                              <w:b/>
                              <w:bCs/>
                              <w:color w:val="243668"/>
                              <w:sz w:val="20"/>
                              <w:szCs w:val="20"/>
                              <w:lang w:val="hu-HU"/>
                            </w:rPr>
                            <w:fldChar w:fldCharType="begin"/>
                          </w:r>
                          <w:r w:rsidRPr="002328BF">
                            <w:rPr>
                              <w:rFonts w:asciiTheme="minorHAnsi" w:hAnsiTheme="minorHAnsi" w:cstheme="minorHAnsi"/>
                              <w:b/>
                              <w:bCs/>
                              <w:color w:val="243668"/>
                              <w:sz w:val="20"/>
                              <w:szCs w:val="20"/>
                              <w:lang w:val="hu-HU"/>
                            </w:rPr>
                            <w:instrText xml:space="preserve"> PAGE  \* MERGEFORMAT </w:instrText>
                          </w:r>
                          <w:r w:rsidRPr="002328BF">
                            <w:rPr>
                              <w:rFonts w:asciiTheme="minorHAnsi" w:hAnsiTheme="minorHAnsi" w:cstheme="minorHAnsi"/>
                              <w:b/>
                              <w:bCs/>
                              <w:color w:val="243668"/>
                              <w:sz w:val="20"/>
                              <w:szCs w:val="20"/>
                              <w:lang w:val="hu-HU"/>
                            </w:rPr>
                            <w:fldChar w:fldCharType="separate"/>
                          </w:r>
                          <w:r w:rsidR="00367057" w:rsidRPr="002328BF">
                            <w:rPr>
                              <w:rFonts w:asciiTheme="minorHAnsi" w:hAnsiTheme="minorHAnsi" w:cstheme="minorHAnsi"/>
                              <w:b/>
                              <w:bCs/>
                              <w:noProof/>
                              <w:color w:val="243668"/>
                              <w:sz w:val="20"/>
                              <w:szCs w:val="20"/>
                              <w:lang w:val="hu-HU"/>
                            </w:rPr>
                            <w:t>15</w:t>
                          </w:r>
                          <w:r w:rsidRPr="002328BF">
                            <w:rPr>
                              <w:rFonts w:asciiTheme="minorHAnsi" w:hAnsiTheme="minorHAnsi" w:cstheme="minorHAnsi"/>
                              <w:b/>
                              <w:bCs/>
                              <w:color w:val="243668"/>
                              <w:sz w:val="20"/>
                              <w:szCs w:val="20"/>
                              <w:lang w:val="hu-HU"/>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08482625" id="_x0000_t202" coordsize="21600,21600" o:spt="202" path="m,l,21600r21600,l21600,xe">
              <v:stroke joinstyle="miter"/>
              <v:path gradientshapeok="t" o:connecttype="rect"/>
            </v:shapetype>
            <v:shape id="Text Box 4" o:spid="_x0000_s1026" type="#_x0000_t202" style="position:absolute;margin-left:0;margin-top:0;width:18.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" filled="f" stroked="f" strokeweight=".5pt">
              <v:textbox style="mso-fit-shape-to-text:t" inset="0,0,0,0">
                <w:txbxContent>
                  <w:p w14:paraId="263CF44F" w14:textId="77777777" w:rsidR="00D37FC3" w:rsidRPr="002328BF" w:rsidRDefault="00D37FC3">
                    <w:pPr>
                      <w:pStyle w:val="Footer"/>
                      <w:rPr>
                        <w:rFonts w:asciiTheme="minorHAnsi" w:hAnsiTheme="minorHAnsi" w:cstheme="minorHAnsi"/>
                        <w:b/>
                        <w:bCs/>
                        <w:color w:val="243668"/>
                        <w:sz w:val="20"/>
                        <w:szCs w:val="20"/>
                        <w:lang w:val="hu-HU"/>
                      </w:rPr>
                    </w:pPr>
                    <w:r w:rsidRPr="002328BF">
                      <w:rPr>
                        <w:rFonts w:asciiTheme="minorHAnsi" w:hAnsiTheme="minorHAnsi" w:cstheme="minorHAnsi"/>
                        <w:b/>
                        <w:bCs/>
                        <w:color w:val="243668"/>
                        <w:sz w:val="20"/>
                        <w:szCs w:val="20"/>
                        <w:lang w:val="hu-HU"/>
                      </w:rPr>
                      <w:fldChar w:fldCharType="begin"/>
                    </w:r>
                    <w:r w:rsidRPr="002328BF">
                      <w:rPr>
                        <w:rFonts w:asciiTheme="minorHAnsi" w:hAnsiTheme="minorHAnsi" w:cstheme="minorHAnsi"/>
                        <w:b/>
                        <w:bCs/>
                        <w:color w:val="243668"/>
                        <w:sz w:val="20"/>
                        <w:szCs w:val="20"/>
                        <w:lang w:val="hu-HU"/>
                      </w:rPr>
                      <w:instrText xml:space="preserve"> PAGE  \* MERGEFORMAT </w:instrText>
                    </w:r>
                    <w:r w:rsidRPr="002328BF">
                      <w:rPr>
                        <w:rFonts w:asciiTheme="minorHAnsi" w:hAnsiTheme="minorHAnsi" w:cstheme="minorHAnsi"/>
                        <w:b/>
                        <w:bCs/>
                        <w:color w:val="243668"/>
                        <w:sz w:val="20"/>
                        <w:szCs w:val="20"/>
                        <w:lang w:val="hu-HU"/>
                      </w:rPr>
                      <w:fldChar w:fldCharType="separate"/>
                    </w:r>
                    <w:r w:rsidR="00367057" w:rsidRPr="002328BF">
                      <w:rPr>
                        <w:rFonts w:asciiTheme="minorHAnsi" w:hAnsiTheme="minorHAnsi" w:cstheme="minorHAnsi"/>
                        <w:b/>
                        <w:bCs/>
                        <w:noProof/>
                        <w:color w:val="243668"/>
                        <w:sz w:val="20"/>
                        <w:szCs w:val="20"/>
                        <w:lang w:val="hu-HU"/>
                      </w:rPr>
                      <w:t>15</w:t>
                    </w:r>
                    <w:r w:rsidRPr="002328BF">
                      <w:rPr>
                        <w:rFonts w:asciiTheme="minorHAnsi" w:hAnsiTheme="minorHAnsi" w:cstheme="minorHAnsi"/>
                        <w:b/>
                        <w:bCs/>
                        <w:color w:val="243668"/>
                        <w:sz w:val="20"/>
                        <w:szCs w:val="20"/>
                        <w:lang w:val="hu-HU"/>
                      </w:rPr>
                      <w:fldChar w:fldCharType="end"/>
                    </w:r>
                  </w:p>
                </w:txbxContent>
              </v:textbox>
              <w10:wrap anchorx="margin"/>
            </v:shape>
          </w:pict>
        </mc:Fallback>
      </mc:AlternateContent>
    </w:r>
    <w:r>
      <w:rPr>
        <w:noProof/>
        <w:lang w:eastAsia="en-US"/>
      </w:rPr>
      <w:drawing>
        <wp:anchor distT="0" distB="0" distL="114300" distR="114300" simplePos="0" relativeHeight="251658240" behindDoc="0" locked="0" layoutInCell="1" allowOverlap="1" wp14:anchorId="4245C13C" wp14:editId="0913043A">
          <wp:simplePos x="0" y="0"/>
          <wp:positionH relativeFrom="column">
            <wp:posOffset>5330825</wp:posOffset>
          </wp:positionH>
          <wp:positionV relativeFrom="paragraph">
            <wp:posOffset>-318135</wp:posOffset>
          </wp:positionV>
          <wp:extent cx="779780" cy="610235"/>
          <wp:effectExtent l="0" t="0" r="1270" b="184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tretch>
                    <a:fillRect/>
                  </a:stretch>
                </pic:blipFill>
                <pic:spPr>
                  <a:xfrm>
                    <a:off x="0" y="0"/>
                    <a:ext cx="77978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2A4ED" w14:textId="77777777" w:rsidR="003A63FC" w:rsidRDefault="003A63FC">
      <w:pPr>
        <w:spacing w:before="0" w:after="0"/>
      </w:pPr>
      <w:r>
        <w:separator/>
      </w:r>
    </w:p>
  </w:footnote>
  <w:footnote w:type="continuationSeparator" w:id="0">
    <w:p w14:paraId="3CCF8565" w14:textId="77777777" w:rsidR="003A63FC" w:rsidRDefault="003A63FC">
      <w:pPr>
        <w:spacing w:before="0" w:after="0"/>
      </w:pPr>
      <w:r>
        <w:continuationSeparator/>
      </w:r>
    </w:p>
  </w:footnote>
  <w:footnote w:id="1">
    <w:p w14:paraId="3995C7FD" w14:textId="77777777" w:rsidR="00D37FC3" w:rsidRPr="004E2148" w:rsidRDefault="00D37FC3" w:rsidP="004E2148">
      <w:pPr>
        <w:spacing w:before="0" w:after="0"/>
        <w:jc w:val="both"/>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European Union. (2019). </w:t>
      </w:r>
      <w:r w:rsidRPr="004E2148">
        <w:rPr>
          <w:rFonts w:asciiTheme="minorHAnsi" w:hAnsiTheme="minorHAnsi" w:cstheme="minorHAnsi"/>
          <w:i/>
          <w:color w:val="auto"/>
          <w:sz w:val="18"/>
          <w:szCs w:val="18"/>
        </w:rPr>
        <w:t>Education and Training Monitor 2019. Volume 1.</w:t>
      </w:r>
      <w:r w:rsidRPr="004E2148">
        <w:rPr>
          <w:rFonts w:asciiTheme="minorHAnsi" w:hAnsiTheme="minorHAnsi" w:cstheme="minorHAnsi"/>
          <w:color w:val="auto"/>
          <w:sz w:val="18"/>
          <w:szCs w:val="18"/>
        </w:rPr>
        <w:t xml:space="preserve"> Luxembourg: Publications Office of the European Union, p. 16.</w:t>
      </w:r>
    </w:p>
  </w:footnote>
  <w:footnote w:id="2">
    <w:p w14:paraId="4226011D" w14:textId="77777777" w:rsidR="00D37FC3" w:rsidRPr="004E2148" w:rsidRDefault="00D37FC3" w:rsidP="004E2148">
      <w:pPr>
        <w:tabs>
          <w:tab w:val="left" w:pos="4055"/>
        </w:tabs>
        <w:spacing w:before="0" w:after="0"/>
        <w:jc w:val="both"/>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OECD (2019a) “Romania- Country Note – TALIS 2018 Results”, </w:t>
      </w:r>
      <w:r w:rsidRPr="004E2148">
        <w:rPr>
          <w:rFonts w:asciiTheme="minorHAnsi" w:hAnsiTheme="minorHAnsi" w:cstheme="minorHAnsi"/>
          <w:i/>
          <w:color w:val="auto"/>
          <w:sz w:val="18"/>
          <w:szCs w:val="18"/>
        </w:rPr>
        <w:t xml:space="preserve">Volume I – Teachers and School Leaders as Lifelong Learners. </w:t>
      </w:r>
    </w:p>
    <w:p w14:paraId="470584F6" w14:textId="77777777" w:rsidR="00D37FC3" w:rsidRPr="004E2148" w:rsidRDefault="003A63FC" w:rsidP="004E2148">
      <w:pPr>
        <w:tabs>
          <w:tab w:val="left" w:pos="4055"/>
        </w:tabs>
        <w:spacing w:before="0" w:after="0"/>
        <w:jc w:val="both"/>
        <w:rPr>
          <w:rFonts w:asciiTheme="minorHAnsi" w:hAnsiTheme="minorHAnsi" w:cstheme="minorHAnsi"/>
          <w:color w:val="0000FF"/>
          <w:sz w:val="18"/>
          <w:szCs w:val="18"/>
          <w:u w:val="single"/>
        </w:rPr>
      </w:pPr>
      <w:hyperlink r:id="rId1" w:history="1">
        <w:r w:rsidR="00D37FC3" w:rsidRPr="004E2148">
          <w:rPr>
            <w:rStyle w:val="Hyperlink"/>
            <w:rFonts w:asciiTheme="minorHAnsi" w:hAnsiTheme="minorHAnsi" w:cstheme="minorHAnsi"/>
            <w:sz w:val="18"/>
            <w:szCs w:val="18"/>
          </w:rPr>
          <w:t>http://www.oecd.org/education/talis/TALIS2018_CN_ROU.pdf</w:t>
        </w:r>
      </w:hyperlink>
      <w:r w:rsidR="00D37FC3" w:rsidRPr="009E4255">
        <w:rPr>
          <w:rStyle w:val="Hyperlink"/>
          <w:rFonts w:asciiTheme="minorHAnsi" w:hAnsiTheme="minorHAnsi" w:cstheme="minorHAnsi"/>
          <w:color w:val="auto"/>
          <w:sz w:val="18"/>
          <w:szCs w:val="18"/>
          <w:u w:val="none"/>
        </w:rPr>
        <w:t>.</w:t>
      </w:r>
    </w:p>
  </w:footnote>
  <w:footnote w:id="3">
    <w:p w14:paraId="39CA9986"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OECD 2019a, p.4.</w:t>
      </w:r>
    </w:p>
  </w:footnote>
  <w:footnote w:id="4">
    <w:p w14:paraId="2C708073"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OECD, 2019a, p.2.</w:t>
      </w:r>
    </w:p>
  </w:footnote>
  <w:footnote w:id="5">
    <w:p w14:paraId="72FC7C4A"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European Union. (2019). </w:t>
      </w:r>
      <w:r w:rsidRPr="004E2148">
        <w:rPr>
          <w:rFonts w:cstheme="minorHAnsi"/>
          <w:i/>
          <w:sz w:val="18"/>
          <w:szCs w:val="18"/>
        </w:rPr>
        <w:t>Education and Training Monitor 2019. Volume 1.</w:t>
      </w:r>
      <w:r w:rsidRPr="004E2148">
        <w:rPr>
          <w:rFonts w:cstheme="minorHAnsi"/>
          <w:sz w:val="18"/>
          <w:szCs w:val="18"/>
        </w:rPr>
        <w:t xml:space="preserve"> Luxembourg: Publications Office of the European Union, p. 23.</w:t>
      </w:r>
    </w:p>
  </w:footnote>
  <w:footnote w:id="6">
    <w:p w14:paraId="5B390BC8" w14:textId="77777777" w:rsidR="00D37FC3" w:rsidRPr="004E2148" w:rsidRDefault="00D37FC3" w:rsidP="004E2148">
      <w:pPr>
        <w:spacing w:before="0" w:after="0"/>
        <w:jc w:val="both"/>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Data sources</w:t>
      </w:r>
    </w:p>
    <w:p w14:paraId="3685DCE3" w14:textId="77777777" w:rsidR="00D37FC3" w:rsidRPr="004E2148" w:rsidRDefault="00D37FC3" w:rsidP="004E2148">
      <w:pPr>
        <w:spacing w:before="0" w:after="0"/>
        <w:jc w:val="both"/>
        <w:rPr>
          <w:rStyle w:val="Hyperlink"/>
          <w:rFonts w:asciiTheme="minorHAnsi" w:hAnsiTheme="minorHAnsi" w:cstheme="minorHAnsi"/>
          <w:sz w:val="18"/>
          <w:szCs w:val="18"/>
        </w:rPr>
      </w:pPr>
      <w:r>
        <w:rPr>
          <w:rFonts w:asciiTheme="minorHAnsi" w:hAnsiTheme="minorHAnsi" w:cstheme="minorHAnsi"/>
          <w:color w:val="auto"/>
          <w:sz w:val="18"/>
          <w:szCs w:val="18"/>
        </w:rPr>
        <w:t xml:space="preserve">For </w:t>
      </w:r>
      <w:r w:rsidRPr="004E2148">
        <w:rPr>
          <w:rFonts w:asciiTheme="minorHAnsi" w:hAnsiTheme="minorHAnsi" w:cstheme="minorHAnsi"/>
          <w:color w:val="auto"/>
          <w:sz w:val="18"/>
          <w:szCs w:val="18"/>
        </w:rPr>
        <w:t>2018</w:t>
      </w:r>
      <w:r w:rsidRPr="004E2148">
        <w:rPr>
          <w:rFonts w:asciiTheme="minorHAnsi" w:hAnsiTheme="minorHAnsi" w:cstheme="minorHAnsi"/>
          <w:sz w:val="18"/>
          <w:szCs w:val="18"/>
        </w:rPr>
        <w:t>:</w:t>
      </w:r>
      <w:hyperlink r:id="rId2" w:history="1">
        <w:r w:rsidRPr="004E2148">
          <w:rPr>
            <w:rStyle w:val="Hyperlink"/>
            <w:rFonts w:asciiTheme="minorHAnsi" w:hAnsiTheme="minorHAnsi" w:cstheme="minorHAnsi"/>
            <w:sz w:val="18"/>
            <w:szCs w:val="18"/>
          </w:rPr>
          <w:t>https://ec.europa.eu/eurostat/statistics-explained/index.php?title=File:2018data_Early_school_leavers-02.jpg</w:t>
        </w:r>
      </w:hyperlink>
      <w:r w:rsidRPr="004E2148">
        <w:rPr>
          <w:rStyle w:val="Hyperlink"/>
          <w:rFonts w:asciiTheme="minorHAnsi" w:hAnsiTheme="minorHAnsi" w:cstheme="minorHAnsi"/>
          <w:sz w:val="18"/>
          <w:szCs w:val="18"/>
        </w:rPr>
        <w:t xml:space="preserve"> </w:t>
      </w:r>
    </w:p>
    <w:p w14:paraId="4877B327" w14:textId="77777777" w:rsidR="00D37FC3" w:rsidRPr="009E4255" w:rsidRDefault="00D37FC3" w:rsidP="004E2148">
      <w:pPr>
        <w:spacing w:before="0" w:after="0"/>
        <w:jc w:val="both"/>
        <w:rPr>
          <w:rFonts w:asciiTheme="minorHAnsi" w:hAnsiTheme="minorHAnsi" w:cstheme="minorHAnsi"/>
          <w:sz w:val="18"/>
          <w:szCs w:val="18"/>
        </w:rPr>
      </w:pPr>
      <w:r w:rsidRPr="009E4255">
        <w:rPr>
          <w:rStyle w:val="Hyperlink"/>
          <w:rFonts w:asciiTheme="minorHAnsi" w:hAnsiTheme="minorHAnsi" w:cstheme="minorHAnsi"/>
          <w:color w:val="auto"/>
          <w:sz w:val="18"/>
          <w:szCs w:val="18"/>
          <w:u w:val="none"/>
        </w:rPr>
        <w:t>(accessed 02.06.2020)</w:t>
      </w:r>
      <w:r>
        <w:rPr>
          <w:rStyle w:val="Hyperlink"/>
          <w:rFonts w:asciiTheme="minorHAnsi" w:hAnsiTheme="minorHAnsi" w:cstheme="minorHAnsi"/>
          <w:color w:val="auto"/>
          <w:sz w:val="18"/>
          <w:szCs w:val="18"/>
          <w:u w:val="none"/>
        </w:rPr>
        <w:t>.</w:t>
      </w:r>
    </w:p>
    <w:p w14:paraId="3320ABF8" w14:textId="77777777" w:rsidR="00D37FC3" w:rsidRPr="004E2148" w:rsidRDefault="00D37FC3" w:rsidP="009E4255">
      <w:pPr>
        <w:spacing w:before="0" w:after="0"/>
        <w:rPr>
          <w:rFonts w:asciiTheme="minorHAnsi" w:hAnsiTheme="minorHAnsi" w:cstheme="minorHAnsi"/>
          <w:sz w:val="18"/>
          <w:szCs w:val="18"/>
        </w:rPr>
      </w:pPr>
      <w:r>
        <w:rPr>
          <w:rFonts w:asciiTheme="minorHAnsi" w:hAnsiTheme="minorHAnsi" w:cstheme="minorHAnsi"/>
          <w:color w:val="auto"/>
          <w:sz w:val="18"/>
          <w:szCs w:val="18"/>
        </w:rPr>
        <w:t xml:space="preserve">For </w:t>
      </w:r>
      <w:r w:rsidRPr="004E2148">
        <w:rPr>
          <w:rFonts w:asciiTheme="minorHAnsi" w:hAnsiTheme="minorHAnsi" w:cstheme="minorHAnsi"/>
          <w:color w:val="auto"/>
          <w:sz w:val="18"/>
          <w:szCs w:val="18"/>
        </w:rPr>
        <w:t>2019</w:t>
      </w:r>
      <w:r w:rsidRPr="004E2148">
        <w:rPr>
          <w:rFonts w:asciiTheme="minorHAnsi" w:hAnsiTheme="minorHAnsi" w:cstheme="minorHAnsi"/>
          <w:sz w:val="18"/>
          <w:szCs w:val="18"/>
        </w:rPr>
        <w:t>:</w:t>
      </w:r>
      <w:hyperlink r:id="rId3" w:anchor="Overview" w:history="1">
        <w:r w:rsidRPr="004E2148">
          <w:rPr>
            <w:rStyle w:val="Hyperlink"/>
            <w:rFonts w:asciiTheme="minorHAnsi" w:hAnsiTheme="minorHAnsi" w:cstheme="minorHAnsi"/>
            <w:sz w:val="18"/>
            <w:szCs w:val="18"/>
          </w:rPr>
          <w:t>https://ec.europa.eu/eurostat/statistics-explained/index.php/Early_leavers_from_education_and_training#Overview</w:t>
        </w:r>
      </w:hyperlink>
      <w:r w:rsidRPr="00D37FC3">
        <w:rPr>
          <w:rStyle w:val="Hyperlink"/>
          <w:rFonts w:asciiTheme="minorHAnsi" w:hAnsiTheme="minorHAnsi" w:cstheme="minorHAnsi"/>
          <w:sz w:val="18"/>
          <w:szCs w:val="18"/>
          <w:u w:val="none"/>
        </w:rPr>
        <w:t xml:space="preserve"> </w:t>
      </w:r>
      <w:r w:rsidRPr="00D37FC3">
        <w:rPr>
          <w:rStyle w:val="Hyperlink"/>
          <w:rFonts w:asciiTheme="minorHAnsi" w:hAnsiTheme="minorHAnsi" w:cstheme="minorHAnsi"/>
          <w:color w:val="auto"/>
          <w:sz w:val="18"/>
          <w:szCs w:val="18"/>
          <w:u w:val="none"/>
        </w:rPr>
        <w:t xml:space="preserve"> </w:t>
      </w:r>
      <w:r w:rsidRPr="009E4255">
        <w:rPr>
          <w:rStyle w:val="Hyperlink"/>
          <w:rFonts w:asciiTheme="minorHAnsi" w:hAnsiTheme="minorHAnsi" w:cstheme="minorHAnsi"/>
          <w:color w:val="auto"/>
          <w:sz w:val="18"/>
          <w:szCs w:val="18"/>
          <w:u w:val="none"/>
        </w:rPr>
        <w:t>(accessed 02.06.2020)</w:t>
      </w:r>
      <w:r>
        <w:rPr>
          <w:rStyle w:val="Hyperlink"/>
          <w:rFonts w:asciiTheme="minorHAnsi" w:hAnsiTheme="minorHAnsi" w:cstheme="minorHAnsi"/>
          <w:color w:val="auto"/>
          <w:sz w:val="18"/>
          <w:szCs w:val="18"/>
          <w:u w:val="none"/>
        </w:rPr>
        <w:t>.</w:t>
      </w:r>
    </w:p>
  </w:footnote>
  <w:footnote w:id="7">
    <w:p w14:paraId="077229E8" w14:textId="77777777" w:rsidR="00D37FC3" w:rsidRPr="004E2148" w:rsidRDefault="00D37FC3" w:rsidP="004E2148">
      <w:pPr>
        <w:spacing w:before="0" w:after="0"/>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Data sources: </w:t>
      </w:r>
    </w:p>
    <w:p w14:paraId="41BE5078" w14:textId="77777777" w:rsidR="00D37FC3" w:rsidRPr="009E4255" w:rsidRDefault="003A63FC" w:rsidP="004E2148">
      <w:pPr>
        <w:spacing w:before="0" w:after="0"/>
        <w:rPr>
          <w:rStyle w:val="Hyperlink"/>
          <w:rFonts w:asciiTheme="minorHAnsi" w:hAnsiTheme="minorHAnsi" w:cstheme="minorHAnsi"/>
          <w:color w:val="auto"/>
          <w:sz w:val="18"/>
          <w:szCs w:val="18"/>
          <w:u w:val="none"/>
        </w:rPr>
      </w:pPr>
      <w:hyperlink r:id="rId4" w:history="1">
        <w:r w:rsidR="00D37FC3" w:rsidRPr="004E2148">
          <w:rPr>
            <w:rStyle w:val="Hyperlink"/>
            <w:rFonts w:asciiTheme="minorHAnsi" w:hAnsiTheme="minorHAnsi" w:cstheme="minorHAnsi"/>
            <w:sz w:val="18"/>
            <w:szCs w:val="18"/>
          </w:rPr>
          <w:t>https://ec.europa.eu/eurostat/statistics-explained/index.php?title=File:Distribution_of_early_leavers_from_education_and_training_aged_18-24_by_labour_status,_2019_(%25_of_population_aged_18-24).png</w:t>
        </w:r>
      </w:hyperlink>
      <w:r w:rsidR="00D37FC3" w:rsidRPr="0021099B">
        <w:rPr>
          <w:rStyle w:val="Hyperlink"/>
          <w:rFonts w:asciiTheme="minorHAnsi" w:hAnsiTheme="minorHAnsi" w:cstheme="minorHAnsi"/>
          <w:sz w:val="18"/>
          <w:szCs w:val="18"/>
          <w:u w:val="none"/>
        </w:rPr>
        <w:t xml:space="preserve">   </w:t>
      </w:r>
      <w:r w:rsidR="00D37FC3" w:rsidRPr="0021099B">
        <w:rPr>
          <w:rStyle w:val="Hyperlink"/>
          <w:rFonts w:asciiTheme="minorHAnsi" w:hAnsiTheme="minorHAnsi" w:cstheme="minorHAnsi"/>
          <w:color w:val="auto"/>
          <w:sz w:val="18"/>
          <w:szCs w:val="18"/>
          <w:u w:val="none"/>
        </w:rPr>
        <w:t>(</w:t>
      </w:r>
      <w:r w:rsidR="00D37FC3" w:rsidRPr="009E4255">
        <w:rPr>
          <w:rStyle w:val="Hyperlink"/>
          <w:rFonts w:asciiTheme="minorHAnsi" w:hAnsiTheme="minorHAnsi" w:cstheme="minorHAnsi"/>
          <w:color w:val="auto"/>
          <w:sz w:val="18"/>
          <w:szCs w:val="18"/>
          <w:u w:val="none"/>
        </w:rPr>
        <w:t xml:space="preserve">accessed 05.06.2020) and </w:t>
      </w:r>
    </w:p>
    <w:p w14:paraId="3D21E55C" w14:textId="77777777" w:rsidR="00D37FC3" w:rsidRPr="004E2148" w:rsidRDefault="00D37FC3" w:rsidP="004E2148">
      <w:pPr>
        <w:spacing w:before="0" w:after="0"/>
        <w:rPr>
          <w:rFonts w:asciiTheme="minorHAnsi" w:hAnsiTheme="minorHAnsi" w:cstheme="minorHAnsi"/>
          <w:sz w:val="18"/>
          <w:szCs w:val="18"/>
          <w:vertAlign w:val="superscript"/>
        </w:rPr>
      </w:pPr>
      <w:r w:rsidRPr="009E4255">
        <w:rPr>
          <w:rFonts w:asciiTheme="minorHAnsi" w:hAnsiTheme="minorHAnsi" w:cstheme="minorHAnsi"/>
          <w:color w:val="auto"/>
          <w:sz w:val="18"/>
          <w:szCs w:val="18"/>
        </w:rPr>
        <w:t>“Early leavers from education and training by sex and</w:t>
      </w:r>
      <w:r>
        <w:rPr>
          <w:rFonts w:asciiTheme="minorHAnsi" w:hAnsiTheme="minorHAnsi" w:cstheme="minorHAnsi"/>
          <w:color w:val="auto"/>
          <w:sz w:val="18"/>
          <w:szCs w:val="18"/>
        </w:rPr>
        <w:t xml:space="preserve"> degree of urbanization”, </w:t>
      </w:r>
      <w:hyperlink r:id="rId5" w:history="1">
        <w:r w:rsidRPr="004E2148">
          <w:rPr>
            <w:rStyle w:val="Hyperlink"/>
            <w:rFonts w:asciiTheme="minorHAnsi" w:hAnsiTheme="minorHAnsi" w:cstheme="minorHAnsi"/>
            <w:sz w:val="18"/>
            <w:szCs w:val="18"/>
          </w:rPr>
          <w:t>https://appsso.eurostat.ec.europa.eu/nui/show.do?dataset=edat_lfse_30&amp;lang=en</w:t>
        </w:r>
      </w:hyperlink>
      <w:r w:rsidRPr="004E2148">
        <w:rPr>
          <w:rStyle w:val="Hyperlink"/>
          <w:rFonts w:asciiTheme="minorHAnsi" w:hAnsiTheme="minorHAnsi" w:cstheme="minorHAnsi"/>
          <w:sz w:val="18"/>
          <w:szCs w:val="18"/>
        </w:rPr>
        <w:t xml:space="preserve"> </w:t>
      </w:r>
      <w:r w:rsidRPr="009E4255">
        <w:rPr>
          <w:rStyle w:val="Hyperlink"/>
          <w:rFonts w:asciiTheme="minorHAnsi" w:hAnsiTheme="minorHAnsi" w:cstheme="minorHAnsi"/>
          <w:sz w:val="18"/>
          <w:szCs w:val="18"/>
          <w:u w:val="none"/>
        </w:rPr>
        <w:t xml:space="preserve"> </w:t>
      </w:r>
      <w:r w:rsidRPr="009E4255">
        <w:rPr>
          <w:rStyle w:val="Hyperlink"/>
          <w:rFonts w:asciiTheme="minorHAnsi" w:hAnsiTheme="minorHAnsi" w:cstheme="minorHAnsi"/>
          <w:color w:val="auto"/>
          <w:sz w:val="18"/>
          <w:szCs w:val="18"/>
          <w:u w:val="none"/>
        </w:rPr>
        <w:t>(accessed 05.06.2020)</w:t>
      </w:r>
      <w:r>
        <w:rPr>
          <w:rStyle w:val="Hyperlink"/>
          <w:rFonts w:asciiTheme="minorHAnsi" w:hAnsiTheme="minorHAnsi" w:cstheme="minorHAnsi"/>
          <w:color w:val="auto"/>
          <w:sz w:val="18"/>
          <w:szCs w:val="18"/>
          <w:u w:val="none"/>
        </w:rPr>
        <w:t>.</w:t>
      </w:r>
      <w:hyperlink r:id="rId6" w:history="1"/>
    </w:p>
  </w:footnote>
  <w:footnote w:id="8">
    <w:p w14:paraId="5868C520"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Data source: </w:t>
      </w:r>
      <w:hyperlink r:id="rId7" w:history="1">
        <w:r w:rsidRPr="004E2148">
          <w:rPr>
            <w:rStyle w:val="Hyperlink"/>
            <w:rFonts w:cstheme="minorHAnsi"/>
            <w:sz w:val="18"/>
            <w:szCs w:val="18"/>
          </w:rPr>
          <w:t>https://ec.europa.eu/eurostat/statistics-explained/index.php?title=File:Young_people_(aged_20%E2%80%9334)_neither_in_employment_nor_in_education_and_training,_by_sex_and_age,_2019_(%25).png</w:t>
        </w:r>
      </w:hyperlink>
      <w:r w:rsidRPr="0021099B">
        <w:rPr>
          <w:rStyle w:val="Hyperlink"/>
          <w:rFonts w:cstheme="minorHAnsi"/>
          <w:sz w:val="18"/>
          <w:szCs w:val="18"/>
          <w:u w:val="none"/>
        </w:rPr>
        <w:t xml:space="preserve">  </w:t>
      </w:r>
      <w:r w:rsidRPr="0021099B">
        <w:rPr>
          <w:rStyle w:val="Hyperlink"/>
          <w:rFonts w:cstheme="minorHAnsi"/>
          <w:color w:val="auto"/>
          <w:sz w:val="18"/>
          <w:szCs w:val="18"/>
          <w:u w:val="none"/>
        </w:rPr>
        <w:t xml:space="preserve"> </w:t>
      </w:r>
      <w:r w:rsidRPr="009E4255">
        <w:rPr>
          <w:rStyle w:val="Hyperlink"/>
          <w:rFonts w:cstheme="minorHAnsi"/>
          <w:color w:val="auto"/>
          <w:sz w:val="18"/>
          <w:szCs w:val="18"/>
          <w:u w:val="none"/>
        </w:rPr>
        <w:t>(accessed 06.06.2020)</w:t>
      </w:r>
      <w:r>
        <w:rPr>
          <w:rStyle w:val="Hyperlink"/>
          <w:rFonts w:cstheme="minorHAnsi"/>
          <w:color w:val="auto"/>
          <w:sz w:val="18"/>
          <w:szCs w:val="18"/>
          <w:u w:val="none"/>
        </w:rPr>
        <w:t>.</w:t>
      </w:r>
    </w:p>
  </w:footnote>
  <w:footnote w:id="9">
    <w:p w14:paraId="465F3A23" w14:textId="77777777" w:rsidR="00D37FC3" w:rsidRPr="004E2148" w:rsidRDefault="00D37FC3" w:rsidP="004E2148">
      <w:pPr>
        <w:spacing w:before="0" w:after="0"/>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Data source: Eurostat, “Young people (aged 20-34) neither in employment, nor in education or training, by degree of urbanization, 2019”, </w:t>
      </w:r>
      <w:hyperlink r:id="rId8" w:history="1">
        <w:r w:rsidRPr="004E2148">
          <w:rPr>
            <w:rStyle w:val="Hyperlink"/>
            <w:rFonts w:asciiTheme="minorHAnsi" w:hAnsiTheme="minorHAnsi" w:cstheme="minorHAnsi"/>
            <w:sz w:val="18"/>
            <w:szCs w:val="18"/>
          </w:rPr>
          <w:t>https://ec.europa.eu/eurostat/statistics-explained/index.php?title=File:Young_people_(aged_20%E2%80%9334)_neither_in_employment_nor_in_education_and_training,_by_degree_of_urbanisation,_2019_(%25).png</w:t>
        </w:r>
      </w:hyperlink>
      <w:r w:rsidRPr="004E2148">
        <w:rPr>
          <w:rFonts w:asciiTheme="minorHAnsi" w:hAnsiTheme="minorHAnsi" w:cstheme="minorHAnsi"/>
          <w:sz w:val="18"/>
          <w:szCs w:val="18"/>
        </w:rPr>
        <w:t xml:space="preserve"> </w:t>
      </w:r>
      <w:r w:rsidRPr="004E2148">
        <w:rPr>
          <w:rFonts w:asciiTheme="minorHAnsi" w:hAnsiTheme="minorHAnsi" w:cstheme="minorHAnsi"/>
          <w:color w:val="auto"/>
          <w:sz w:val="18"/>
          <w:szCs w:val="18"/>
        </w:rPr>
        <w:t>(accessed 06.06.2020)</w:t>
      </w:r>
      <w:r>
        <w:rPr>
          <w:rFonts w:asciiTheme="minorHAnsi" w:hAnsiTheme="minorHAnsi" w:cstheme="minorHAnsi"/>
          <w:color w:val="auto"/>
          <w:sz w:val="18"/>
          <w:szCs w:val="18"/>
        </w:rPr>
        <w:t>.</w:t>
      </w:r>
    </w:p>
  </w:footnote>
  <w:footnote w:id="10">
    <w:p w14:paraId="4E461E91" w14:textId="77777777" w:rsidR="00D37FC3" w:rsidRPr="009E4255" w:rsidRDefault="00D37FC3" w:rsidP="004E2148">
      <w:pPr>
        <w:spacing w:before="0" w:after="0"/>
        <w:rPr>
          <w:rFonts w:asciiTheme="minorHAnsi" w:hAnsiTheme="minorHAnsi" w:cstheme="minorHAnsi"/>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Data source</w:t>
      </w:r>
      <w:r w:rsidRPr="004E2148">
        <w:rPr>
          <w:rFonts w:asciiTheme="minorHAnsi" w:hAnsiTheme="minorHAnsi" w:cstheme="minorHAnsi"/>
          <w:sz w:val="18"/>
          <w:szCs w:val="18"/>
        </w:rPr>
        <w:t>:</w:t>
      </w:r>
      <w:r>
        <w:rPr>
          <w:rFonts w:asciiTheme="minorHAnsi" w:hAnsiTheme="minorHAnsi" w:cstheme="minorHAnsi"/>
          <w:sz w:val="18"/>
          <w:szCs w:val="18"/>
        </w:rPr>
        <w:t xml:space="preserve"> </w:t>
      </w:r>
      <w:hyperlink r:id="rId9" w:history="1">
        <w:r w:rsidRPr="004E2148">
          <w:rPr>
            <w:rStyle w:val="Hyperlink"/>
            <w:rFonts w:asciiTheme="minorHAnsi" w:hAnsiTheme="minorHAnsi" w:cstheme="minorHAnsi"/>
            <w:sz w:val="18"/>
            <w:szCs w:val="18"/>
          </w:rPr>
          <w:t>https://ec.europa.eu/eurostat/statistics-explained/index.php?title=File:Employment_rates_of_recent_graduates_(aged_20%E2%80%9334)_not_in_education_and_training,_2019_(%25).png</w:t>
        </w:r>
      </w:hyperlink>
      <w:r w:rsidRPr="0021099B">
        <w:rPr>
          <w:rStyle w:val="Hyperlink"/>
          <w:rFonts w:asciiTheme="minorHAnsi" w:hAnsiTheme="minorHAnsi" w:cstheme="minorHAnsi"/>
          <w:sz w:val="18"/>
          <w:szCs w:val="18"/>
          <w:u w:val="none"/>
        </w:rPr>
        <w:t xml:space="preserve">  </w:t>
      </w:r>
      <w:r w:rsidRPr="009E4255">
        <w:rPr>
          <w:rStyle w:val="Hyperlink"/>
          <w:rFonts w:asciiTheme="minorHAnsi" w:hAnsiTheme="minorHAnsi" w:cstheme="minorHAnsi"/>
          <w:color w:val="auto"/>
          <w:sz w:val="18"/>
          <w:szCs w:val="18"/>
          <w:u w:val="none"/>
        </w:rPr>
        <w:t>(accessed 06.06.2020)</w:t>
      </w:r>
      <w:r>
        <w:rPr>
          <w:rStyle w:val="Hyperlink"/>
          <w:rFonts w:asciiTheme="minorHAnsi" w:hAnsiTheme="minorHAnsi" w:cstheme="minorHAnsi"/>
          <w:color w:val="auto"/>
          <w:sz w:val="18"/>
          <w:szCs w:val="18"/>
          <w:u w:val="none"/>
        </w:rPr>
        <w:t>.</w:t>
      </w:r>
    </w:p>
  </w:footnote>
  <w:footnote w:id="11">
    <w:p w14:paraId="730F6FF2" w14:textId="77777777" w:rsidR="00D37FC3" w:rsidRPr="004E2148" w:rsidRDefault="00D37FC3" w:rsidP="004E2148">
      <w:pPr>
        <w:spacing w:before="0" w:after="0"/>
        <w:jc w:val="both"/>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OECD (2019b)</w:t>
      </w:r>
      <w:r>
        <w:rPr>
          <w:rFonts w:asciiTheme="minorHAnsi" w:hAnsiTheme="minorHAnsi" w:cstheme="minorHAnsi"/>
          <w:color w:val="auto"/>
          <w:sz w:val="18"/>
          <w:szCs w:val="18"/>
        </w:rPr>
        <w:t>.</w:t>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Programme</w:t>
      </w:r>
      <w:proofErr w:type="spellEnd"/>
      <w:r w:rsidRPr="004E2148">
        <w:rPr>
          <w:rFonts w:asciiTheme="minorHAnsi" w:hAnsiTheme="minorHAnsi" w:cstheme="minorHAnsi"/>
          <w:color w:val="auto"/>
          <w:sz w:val="18"/>
          <w:szCs w:val="18"/>
        </w:rPr>
        <w:t xml:space="preserve"> for International Student Assessment (PISA). Results from PISA 2018. Country Note: Romania, p.6.</w:t>
      </w:r>
    </w:p>
    <w:p w14:paraId="32469DDC" w14:textId="77777777" w:rsidR="00D37FC3" w:rsidRPr="004E2148" w:rsidRDefault="003A63FC" w:rsidP="004E2148">
      <w:pPr>
        <w:spacing w:before="0" w:after="0"/>
        <w:jc w:val="both"/>
        <w:rPr>
          <w:rFonts w:asciiTheme="minorHAnsi" w:hAnsiTheme="minorHAnsi" w:cstheme="minorHAnsi"/>
          <w:sz w:val="18"/>
          <w:szCs w:val="18"/>
        </w:rPr>
      </w:pPr>
      <w:hyperlink r:id="rId10" w:history="1">
        <w:r w:rsidR="00D37FC3" w:rsidRPr="004E2148">
          <w:rPr>
            <w:rStyle w:val="Hyperlink"/>
            <w:rFonts w:asciiTheme="minorHAnsi" w:hAnsiTheme="minorHAnsi" w:cstheme="minorHAnsi"/>
            <w:sz w:val="18"/>
            <w:szCs w:val="18"/>
          </w:rPr>
          <w:t>https://www.oecd.org/pisa/publications/PISA2018_CN_ROU.pdf</w:t>
        </w:r>
      </w:hyperlink>
      <w:r w:rsidR="00D37FC3" w:rsidRPr="0021099B">
        <w:rPr>
          <w:rStyle w:val="Hyperlink"/>
          <w:rFonts w:asciiTheme="minorHAnsi" w:hAnsiTheme="minorHAnsi" w:cstheme="minorHAnsi"/>
          <w:sz w:val="18"/>
          <w:szCs w:val="18"/>
          <w:u w:val="none"/>
        </w:rPr>
        <w:t xml:space="preserve">   </w:t>
      </w:r>
      <w:r w:rsidR="00D37FC3" w:rsidRPr="009E4255">
        <w:rPr>
          <w:rStyle w:val="Hyperlink"/>
          <w:rFonts w:asciiTheme="minorHAnsi" w:hAnsiTheme="minorHAnsi" w:cstheme="minorHAnsi"/>
          <w:color w:val="auto"/>
          <w:sz w:val="18"/>
          <w:szCs w:val="18"/>
          <w:u w:val="none"/>
        </w:rPr>
        <w:t>(accessed 03.06.2020).</w:t>
      </w:r>
    </w:p>
  </w:footnote>
  <w:footnote w:id="12">
    <w:p w14:paraId="5A22E001"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OECD, 2019b, p.5.</w:t>
      </w:r>
    </w:p>
  </w:footnote>
  <w:footnote w:id="13">
    <w:p w14:paraId="06F87376"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OECD, 2019b, p.2.</w:t>
      </w:r>
    </w:p>
  </w:footnote>
  <w:footnote w:id="14">
    <w:p w14:paraId="04723B54"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OECD, 2019b, p.5.</w:t>
      </w:r>
    </w:p>
  </w:footnote>
  <w:footnote w:id="15">
    <w:p w14:paraId="2D5AC79B"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OECD, 2019b, p.6.</w:t>
      </w:r>
    </w:p>
  </w:footnote>
  <w:footnote w:id="16">
    <w:p w14:paraId="0EA840BB"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OECD, 2019b, p.7.</w:t>
      </w:r>
    </w:p>
  </w:footnote>
  <w:footnote w:id="17">
    <w:p w14:paraId="67C7FAFB"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OECD, 2019b, p.8.</w:t>
      </w:r>
    </w:p>
  </w:footnote>
  <w:footnote w:id="18">
    <w:p w14:paraId="7DF46019" w14:textId="77777777" w:rsidR="00D37FC3" w:rsidRPr="004E2148" w:rsidRDefault="00D37FC3" w:rsidP="004E2148">
      <w:pPr>
        <w:spacing w:before="0" w:after="0"/>
        <w:jc w:val="both"/>
        <w:rPr>
          <w:rFonts w:asciiTheme="minorHAnsi" w:hAnsiTheme="minorHAnsi" w:cstheme="minorHAnsi"/>
          <w:color w:val="0000FF"/>
          <w:sz w:val="18"/>
          <w:szCs w:val="18"/>
          <w:u w:val="single"/>
        </w:rPr>
      </w:pPr>
      <w:r w:rsidRPr="00D37FC3">
        <w:rPr>
          <w:rStyle w:val="FootnoteReference"/>
          <w:rFonts w:asciiTheme="minorHAnsi" w:hAnsiTheme="minorHAnsi" w:cstheme="minorHAnsi"/>
          <w:color w:val="auto"/>
          <w:sz w:val="18"/>
          <w:szCs w:val="18"/>
        </w:rPr>
        <w:footnoteRef/>
      </w:r>
      <w:r w:rsidRPr="00D37FC3">
        <w:rPr>
          <w:rFonts w:asciiTheme="minorHAnsi" w:hAnsiTheme="minorHAnsi" w:cstheme="minorHAnsi"/>
          <w:color w:val="auto"/>
          <w:sz w:val="18"/>
          <w:szCs w:val="18"/>
        </w:rPr>
        <w:t xml:space="preserve"> </w:t>
      </w:r>
      <w:proofErr w:type="spellStart"/>
      <w:r w:rsidRPr="00D37FC3">
        <w:rPr>
          <w:rFonts w:asciiTheme="minorHAnsi" w:hAnsiTheme="minorHAnsi" w:cstheme="minorHAnsi"/>
          <w:color w:val="auto"/>
          <w:sz w:val="18"/>
          <w:szCs w:val="18"/>
        </w:rPr>
        <w:t>Inspectoratul</w:t>
      </w:r>
      <w:proofErr w:type="spellEnd"/>
      <w:r w:rsidRPr="00D37FC3">
        <w:rPr>
          <w:rFonts w:asciiTheme="minorHAnsi" w:hAnsiTheme="minorHAnsi" w:cstheme="minorHAnsi"/>
          <w:color w:val="auto"/>
          <w:sz w:val="18"/>
          <w:szCs w:val="18"/>
        </w:rPr>
        <w:t xml:space="preserve"> </w:t>
      </w:r>
      <w:proofErr w:type="spellStart"/>
      <w:r w:rsidRPr="00D37FC3">
        <w:rPr>
          <w:rFonts w:asciiTheme="minorHAnsi" w:hAnsiTheme="minorHAnsi" w:cstheme="minorHAnsi"/>
          <w:color w:val="auto"/>
          <w:sz w:val="18"/>
          <w:szCs w:val="18"/>
        </w:rPr>
        <w:t>Scolar</w:t>
      </w:r>
      <w:proofErr w:type="spellEnd"/>
      <w:r w:rsidRPr="00D37FC3">
        <w:rPr>
          <w:rFonts w:asciiTheme="minorHAnsi" w:hAnsiTheme="minorHAnsi" w:cstheme="minorHAnsi"/>
          <w:color w:val="auto"/>
          <w:sz w:val="18"/>
          <w:szCs w:val="18"/>
        </w:rPr>
        <w:t xml:space="preserve"> </w:t>
      </w:r>
      <w:proofErr w:type="spellStart"/>
      <w:r w:rsidRPr="00D37FC3">
        <w:rPr>
          <w:rFonts w:asciiTheme="minorHAnsi" w:hAnsiTheme="minorHAnsi" w:cstheme="minorHAnsi"/>
          <w:color w:val="auto"/>
          <w:sz w:val="18"/>
          <w:szCs w:val="18"/>
        </w:rPr>
        <w:t>Judetean</w:t>
      </w:r>
      <w:proofErr w:type="spellEnd"/>
      <w:r w:rsidRPr="00D37FC3">
        <w:rPr>
          <w:rFonts w:asciiTheme="minorHAnsi" w:hAnsiTheme="minorHAnsi" w:cstheme="minorHAnsi"/>
          <w:color w:val="auto"/>
          <w:sz w:val="18"/>
          <w:szCs w:val="18"/>
        </w:rPr>
        <w:t xml:space="preserve"> Cluj. “</w:t>
      </w:r>
      <w:proofErr w:type="spellStart"/>
      <w:r w:rsidRPr="00D37FC3">
        <w:rPr>
          <w:rFonts w:asciiTheme="minorHAnsi" w:hAnsiTheme="minorHAnsi" w:cstheme="minorHAnsi"/>
          <w:color w:val="auto"/>
          <w:sz w:val="18"/>
          <w:szCs w:val="18"/>
        </w:rPr>
        <w:t>Starea</w:t>
      </w:r>
      <w:proofErr w:type="spellEnd"/>
      <w:r w:rsidRPr="00D37FC3">
        <w:rPr>
          <w:rFonts w:asciiTheme="minorHAnsi" w:hAnsiTheme="minorHAnsi" w:cstheme="minorHAnsi"/>
          <w:color w:val="auto"/>
          <w:sz w:val="18"/>
          <w:szCs w:val="18"/>
        </w:rPr>
        <w:t xml:space="preserve"> </w:t>
      </w:r>
      <w:proofErr w:type="spellStart"/>
      <w:r w:rsidRPr="00D37FC3">
        <w:rPr>
          <w:rFonts w:asciiTheme="minorHAnsi" w:hAnsiTheme="minorHAnsi" w:cstheme="minorHAnsi"/>
          <w:color w:val="auto"/>
          <w:sz w:val="18"/>
          <w:szCs w:val="18"/>
        </w:rPr>
        <w:t>si</w:t>
      </w:r>
      <w:proofErr w:type="spellEnd"/>
      <w:r w:rsidRPr="00D37FC3">
        <w:rPr>
          <w:rFonts w:asciiTheme="minorHAnsi" w:hAnsiTheme="minorHAnsi" w:cstheme="minorHAnsi"/>
          <w:color w:val="auto"/>
          <w:sz w:val="18"/>
          <w:szCs w:val="18"/>
        </w:rPr>
        <w:t xml:space="preserve"> </w:t>
      </w:r>
      <w:proofErr w:type="spellStart"/>
      <w:r w:rsidRPr="00D37FC3">
        <w:rPr>
          <w:rFonts w:asciiTheme="minorHAnsi" w:hAnsiTheme="minorHAnsi" w:cstheme="minorHAnsi"/>
          <w:color w:val="auto"/>
          <w:sz w:val="18"/>
          <w:szCs w:val="18"/>
        </w:rPr>
        <w:t>Calitatea</w:t>
      </w:r>
      <w:proofErr w:type="spellEnd"/>
      <w:r w:rsidRPr="00D37FC3">
        <w:rPr>
          <w:rFonts w:asciiTheme="minorHAnsi" w:hAnsiTheme="minorHAnsi" w:cstheme="minorHAnsi"/>
          <w:color w:val="auto"/>
          <w:sz w:val="18"/>
          <w:szCs w:val="18"/>
        </w:rPr>
        <w:t xml:space="preserve"> </w:t>
      </w:r>
      <w:proofErr w:type="spellStart"/>
      <w:r w:rsidRPr="00D37FC3">
        <w:rPr>
          <w:rFonts w:asciiTheme="minorHAnsi" w:hAnsiTheme="minorHAnsi" w:cstheme="minorHAnsi"/>
          <w:color w:val="auto"/>
          <w:sz w:val="18"/>
          <w:szCs w:val="18"/>
        </w:rPr>
        <w:t>Invatamantului</w:t>
      </w:r>
      <w:proofErr w:type="spellEnd"/>
      <w:r w:rsidRPr="00D37FC3">
        <w:rPr>
          <w:rFonts w:asciiTheme="minorHAnsi" w:hAnsiTheme="minorHAnsi" w:cstheme="minorHAnsi"/>
          <w:color w:val="auto"/>
          <w:sz w:val="18"/>
          <w:szCs w:val="18"/>
        </w:rPr>
        <w:t xml:space="preserve"> </w:t>
      </w:r>
      <w:proofErr w:type="spellStart"/>
      <w:r w:rsidRPr="00D37FC3">
        <w:rPr>
          <w:rFonts w:asciiTheme="minorHAnsi" w:hAnsiTheme="minorHAnsi" w:cstheme="minorHAnsi"/>
          <w:color w:val="auto"/>
          <w:sz w:val="18"/>
          <w:szCs w:val="18"/>
        </w:rPr>
        <w:t>Preuniversitar</w:t>
      </w:r>
      <w:proofErr w:type="spellEnd"/>
      <w:r w:rsidRPr="00D37FC3">
        <w:rPr>
          <w:rFonts w:asciiTheme="minorHAnsi" w:hAnsiTheme="minorHAnsi" w:cstheme="minorHAnsi"/>
          <w:color w:val="auto"/>
          <w:sz w:val="18"/>
          <w:szCs w:val="18"/>
        </w:rPr>
        <w:t xml:space="preserve"> </w:t>
      </w:r>
      <w:proofErr w:type="spellStart"/>
      <w:r w:rsidRPr="00D37FC3">
        <w:rPr>
          <w:rFonts w:asciiTheme="minorHAnsi" w:hAnsiTheme="minorHAnsi" w:cstheme="minorHAnsi"/>
          <w:color w:val="auto"/>
          <w:sz w:val="18"/>
          <w:szCs w:val="18"/>
        </w:rPr>
        <w:t>Clujean</w:t>
      </w:r>
      <w:proofErr w:type="spellEnd"/>
      <w:r w:rsidRPr="00D37FC3">
        <w:rPr>
          <w:rFonts w:asciiTheme="minorHAnsi" w:hAnsiTheme="minorHAnsi" w:cstheme="minorHAnsi"/>
          <w:color w:val="auto"/>
          <w:sz w:val="18"/>
          <w:szCs w:val="18"/>
        </w:rPr>
        <w:t xml:space="preserve">. </w:t>
      </w:r>
      <w:proofErr w:type="spellStart"/>
      <w:r w:rsidRPr="00D37FC3">
        <w:rPr>
          <w:rFonts w:asciiTheme="minorHAnsi" w:hAnsiTheme="minorHAnsi" w:cstheme="minorHAnsi"/>
          <w:color w:val="auto"/>
          <w:sz w:val="18"/>
          <w:szCs w:val="18"/>
        </w:rPr>
        <w:t>Raport</w:t>
      </w:r>
      <w:proofErr w:type="spellEnd"/>
      <w:r w:rsidRPr="00D37FC3">
        <w:rPr>
          <w:rFonts w:asciiTheme="minorHAnsi" w:hAnsiTheme="minorHAnsi" w:cstheme="minorHAnsi"/>
          <w:color w:val="auto"/>
          <w:sz w:val="18"/>
          <w:szCs w:val="18"/>
        </w:rPr>
        <w:t xml:space="preserve"> </w:t>
      </w:r>
      <w:proofErr w:type="spellStart"/>
      <w:r w:rsidRPr="00D37FC3">
        <w:rPr>
          <w:rFonts w:asciiTheme="minorHAnsi" w:hAnsiTheme="minorHAnsi" w:cstheme="minorHAnsi"/>
          <w:color w:val="auto"/>
          <w:sz w:val="18"/>
          <w:szCs w:val="18"/>
        </w:rPr>
        <w:t>Anual</w:t>
      </w:r>
      <w:proofErr w:type="spellEnd"/>
      <w:r w:rsidRPr="00D37FC3">
        <w:rPr>
          <w:rFonts w:asciiTheme="minorHAnsi" w:hAnsiTheme="minorHAnsi" w:cstheme="minorHAnsi"/>
          <w:color w:val="auto"/>
          <w:sz w:val="18"/>
          <w:szCs w:val="18"/>
        </w:rPr>
        <w:t xml:space="preserve"> 2018-2018.” </w:t>
      </w:r>
      <w:hyperlink r:id="rId11" w:history="1">
        <w:r w:rsidRPr="004E2148">
          <w:rPr>
            <w:rStyle w:val="Hyperlink"/>
            <w:rFonts w:asciiTheme="minorHAnsi" w:hAnsiTheme="minorHAnsi" w:cstheme="minorHAnsi"/>
            <w:sz w:val="18"/>
            <w:szCs w:val="18"/>
          </w:rPr>
          <w:t>www.isjcj.ro</w:t>
        </w:r>
      </w:hyperlink>
      <w:r w:rsidRPr="004E2148">
        <w:rPr>
          <w:rStyle w:val="Hyperlink"/>
          <w:rFonts w:asciiTheme="minorHAnsi" w:hAnsiTheme="minorHAnsi" w:cstheme="minorHAnsi"/>
          <w:sz w:val="18"/>
          <w:szCs w:val="18"/>
        </w:rPr>
        <w:t>.</w:t>
      </w:r>
    </w:p>
  </w:footnote>
  <w:footnote w:id="19">
    <w:p w14:paraId="23179505"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w:t>
      </w:r>
      <w:proofErr w:type="spellStart"/>
      <w:r w:rsidRPr="004E2148">
        <w:rPr>
          <w:rFonts w:cstheme="minorHAnsi"/>
          <w:sz w:val="18"/>
          <w:szCs w:val="18"/>
        </w:rPr>
        <w:t>Inspectoratul</w:t>
      </w:r>
      <w:proofErr w:type="spellEnd"/>
      <w:r w:rsidRPr="004E2148">
        <w:rPr>
          <w:rFonts w:cstheme="minorHAnsi"/>
          <w:sz w:val="18"/>
          <w:szCs w:val="18"/>
        </w:rPr>
        <w:t xml:space="preserve"> </w:t>
      </w:r>
      <w:proofErr w:type="spellStart"/>
      <w:r w:rsidRPr="004E2148">
        <w:rPr>
          <w:rFonts w:cstheme="minorHAnsi"/>
          <w:sz w:val="18"/>
          <w:szCs w:val="18"/>
        </w:rPr>
        <w:t>Scolar</w:t>
      </w:r>
      <w:proofErr w:type="spellEnd"/>
      <w:r w:rsidRPr="004E2148">
        <w:rPr>
          <w:rFonts w:cstheme="minorHAnsi"/>
          <w:sz w:val="18"/>
          <w:szCs w:val="18"/>
        </w:rPr>
        <w:t xml:space="preserve"> </w:t>
      </w:r>
      <w:proofErr w:type="spellStart"/>
      <w:r w:rsidRPr="004E2148">
        <w:rPr>
          <w:rFonts w:cstheme="minorHAnsi"/>
          <w:sz w:val="18"/>
          <w:szCs w:val="18"/>
        </w:rPr>
        <w:t>Judetean</w:t>
      </w:r>
      <w:proofErr w:type="spellEnd"/>
      <w:r w:rsidRPr="004E2148">
        <w:rPr>
          <w:rFonts w:cstheme="minorHAnsi"/>
          <w:sz w:val="18"/>
          <w:szCs w:val="18"/>
        </w:rPr>
        <w:t xml:space="preserve"> Cluj, pages 282-283.</w:t>
      </w:r>
    </w:p>
  </w:footnote>
  <w:footnote w:id="20">
    <w:p w14:paraId="5ABCB70F"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w:t>
      </w:r>
      <w:proofErr w:type="spellStart"/>
      <w:r w:rsidRPr="004E2148">
        <w:rPr>
          <w:rFonts w:cstheme="minorHAnsi"/>
          <w:sz w:val="18"/>
          <w:szCs w:val="18"/>
        </w:rPr>
        <w:t>Inspectoratul</w:t>
      </w:r>
      <w:proofErr w:type="spellEnd"/>
      <w:r w:rsidRPr="004E2148">
        <w:rPr>
          <w:rFonts w:cstheme="minorHAnsi"/>
          <w:sz w:val="18"/>
          <w:szCs w:val="18"/>
        </w:rPr>
        <w:t xml:space="preserve"> </w:t>
      </w:r>
      <w:proofErr w:type="spellStart"/>
      <w:r w:rsidRPr="004E2148">
        <w:rPr>
          <w:rFonts w:cstheme="minorHAnsi"/>
          <w:sz w:val="18"/>
          <w:szCs w:val="18"/>
        </w:rPr>
        <w:t>Scolar</w:t>
      </w:r>
      <w:proofErr w:type="spellEnd"/>
      <w:r w:rsidRPr="004E2148">
        <w:rPr>
          <w:rFonts w:cstheme="minorHAnsi"/>
          <w:sz w:val="18"/>
          <w:szCs w:val="18"/>
        </w:rPr>
        <w:t xml:space="preserve"> </w:t>
      </w:r>
      <w:proofErr w:type="spellStart"/>
      <w:r w:rsidRPr="004E2148">
        <w:rPr>
          <w:rFonts w:cstheme="minorHAnsi"/>
          <w:sz w:val="18"/>
          <w:szCs w:val="18"/>
        </w:rPr>
        <w:t>Judetean</w:t>
      </w:r>
      <w:proofErr w:type="spellEnd"/>
      <w:r w:rsidRPr="004E2148">
        <w:rPr>
          <w:rFonts w:cstheme="minorHAnsi"/>
          <w:sz w:val="18"/>
          <w:szCs w:val="18"/>
        </w:rPr>
        <w:t xml:space="preserve"> Cluj, pages 216-218.</w:t>
      </w:r>
    </w:p>
  </w:footnote>
  <w:footnote w:id="21">
    <w:p w14:paraId="14C796EA" w14:textId="77777777" w:rsidR="00D37FC3" w:rsidRPr="004E2148" w:rsidRDefault="00D37FC3" w:rsidP="004E2148">
      <w:pPr>
        <w:spacing w:before="0" w:after="0"/>
        <w:jc w:val="both"/>
        <w:rPr>
          <w:rFonts w:asciiTheme="minorHAnsi" w:hAnsiTheme="minorHAnsi" w:cstheme="minorHAnsi"/>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Institutul</w:t>
      </w:r>
      <w:proofErr w:type="spellEnd"/>
      <w:r w:rsidRPr="004E2148">
        <w:rPr>
          <w:rFonts w:asciiTheme="minorHAnsi" w:hAnsiTheme="minorHAnsi" w:cstheme="minorHAnsi"/>
          <w:color w:val="auto"/>
          <w:sz w:val="18"/>
          <w:szCs w:val="18"/>
        </w:rPr>
        <w:t xml:space="preserve"> National de </w:t>
      </w:r>
      <w:proofErr w:type="spellStart"/>
      <w:r w:rsidRPr="004E2148">
        <w:rPr>
          <w:rFonts w:asciiTheme="minorHAnsi" w:hAnsiTheme="minorHAnsi" w:cstheme="minorHAnsi"/>
          <w:color w:val="auto"/>
          <w:sz w:val="18"/>
          <w:szCs w:val="18"/>
        </w:rPr>
        <w:t>Statistica</w:t>
      </w:r>
      <w:proofErr w:type="spellEnd"/>
      <w:r w:rsidRPr="004E2148">
        <w:rPr>
          <w:rFonts w:asciiTheme="minorHAnsi" w:hAnsiTheme="minorHAnsi" w:cstheme="minorHAnsi"/>
          <w:color w:val="auto"/>
          <w:sz w:val="18"/>
          <w:szCs w:val="18"/>
        </w:rPr>
        <w:t>. 2019. “</w:t>
      </w:r>
      <w:proofErr w:type="spellStart"/>
      <w:r w:rsidRPr="004E2148">
        <w:rPr>
          <w:rFonts w:asciiTheme="minorHAnsi" w:hAnsiTheme="minorHAnsi" w:cstheme="minorHAnsi"/>
          <w:color w:val="auto"/>
          <w:sz w:val="18"/>
          <w:szCs w:val="18"/>
        </w:rPr>
        <w:t>Sistemul</w:t>
      </w:r>
      <w:proofErr w:type="spellEnd"/>
      <w:r w:rsidRPr="004E2148">
        <w:rPr>
          <w:rFonts w:asciiTheme="minorHAnsi" w:hAnsiTheme="minorHAnsi" w:cstheme="minorHAnsi"/>
          <w:color w:val="auto"/>
          <w:sz w:val="18"/>
          <w:szCs w:val="18"/>
        </w:rPr>
        <w:t xml:space="preserve"> educational din Romania. Date </w:t>
      </w:r>
      <w:proofErr w:type="spellStart"/>
      <w:r w:rsidRPr="004E2148">
        <w:rPr>
          <w:rFonts w:asciiTheme="minorHAnsi" w:hAnsiTheme="minorHAnsi" w:cstheme="minorHAnsi"/>
          <w:color w:val="auto"/>
          <w:sz w:val="18"/>
          <w:szCs w:val="18"/>
        </w:rPr>
        <w:t>sintetice</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Anul</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scolar</w:t>
      </w:r>
      <w:proofErr w:type="spellEnd"/>
      <w:r w:rsidRPr="004E2148">
        <w:rPr>
          <w:rFonts w:asciiTheme="minorHAnsi" w:hAnsiTheme="minorHAnsi" w:cstheme="minorHAnsi"/>
          <w:color w:val="auto"/>
          <w:sz w:val="18"/>
          <w:szCs w:val="18"/>
        </w:rPr>
        <w:t>/</w:t>
      </w:r>
      <w:proofErr w:type="spellStart"/>
      <w:r w:rsidRPr="004E2148">
        <w:rPr>
          <w:rFonts w:asciiTheme="minorHAnsi" w:hAnsiTheme="minorHAnsi" w:cstheme="minorHAnsi"/>
          <w:color w:val="auto"/>
          <w:sz w:val="18"/>
          <w:szCs w:val="18"/>
        </w:rPr>
        <w:t>universitar</w:t>
      </w:r>
      <w:proofErr w:type="spellEnd"/>
      <w:r w:rsidRPr="004E2148">
        <w:rPr>
          <w:rFonts w:asciiTheme="minorHAnsi" w:hAnsiTheme="minorHAnsi" w:cstheme="minorHAnsi"/>
          <w:color w:val="auto"/>
          <w:sz w:val="18"/>
          <w:szCs w:val="18"/>
        </w:rPr>
        <w:t xml:space="preserve"> 2017-2018”. </w:t>
      </w:r>
      <w:hyperlink r:id="rId12" w:history="1">
        <w:r w:rsidRPr="004E2148">
          <w:rPr>
            <w:rStyle w:val="Hyperlink"/>
            <w:rFonts w:asciiTheme="minorHAnsi" w:hAnsiTheme="minorHAnsi" w:cstheme="minorHAnsi"/>
            <w:sz w:val="18"/>
            <w:szCs w:val="18"/>
          </w:rPr>
          <w:t>https://insse.ro/cms/</w:t>
        </w:r>
      </w:hyperlink>
      <w:r w:rsidRPr="0021099B">
        <w:rPr>
          <w:rStyle w:val="Hyperlink"/>
          <w:rFonts w:asciiTheme="minorHAnsi" w:hAnsiTheme="minorHAnsi" w:cstheme="minorHAnsi"/>
          <w:sz w:val="18"/>
          <w:szCs w:val="18"/>
          <w:u w:val="none"/>
        </w:rPr>
        <w:t xml:space="preserve">  </w:t>
      </w:r>
      <w:r w:rsidRPr="000B03F2">
        <w:rPr>
          <w:rStyle w:val="Hyperlink"/>
          <w:rFonts w:asciiTheme="minorHAnsi" w:hAnsiTheme="minorHAnsi" w:cstheme="minorHAnsi"/>
          <w:color w:val="auto"/>
          <w:sz w:val="18"/>
          <w:szCs w:val="18"/>
          <w:u w:val="none"/>
        </w:rPr>
        <w:t>(accessed 27.05.2020).</w:t>
      </w:r>
    </w:p>
  </w:footnote>
  <w:footnote w:id="22">
    <w:p w14:paraId="47F54807"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w:t>
      </w:r>
      <w:proofErr w:type="spellStart"/>
      <w:r w:rsidRPr="004E2148">
        <w:rPr>
          <w:rFonts w:cstheme="minorHAnsi"/>
          <w:sz w:val="18"/>
          <w:szCs w:val="18"/>
        </w:rPr>
        <w:t>Institutul</w:t>
      </w:r>
      <w:proofErr w:type="spellEnd"/>
      <w:r w:rsidRPr="004E2148">
        <w:rPr>
          <w:rFonts w:cstheme="minorHAnsi"/>
          <w:sz w:val="18"/>
          <w:szCs w:val="18"/>
        </w:rPr>
        <w:t xml:space="preserve"> National de </w:t>
      </w:r>
      <w:proofErr w:type="spellStart"/>
      <w:r w:rsidRPr="004E2148">
        <w:rPr>
          <w:rFonts w:cstheme="minorHAnsi"/>
          <w:sz w:val="18"/>
          <w:szCs w:val="18"/>
        </w:rPr>
        <w:t>Statistica</w:t>
      </w:r>
      <w:proofErr w:type="spellEnd"/>
      <w:r w:rsidRPr="004E2148">
        <w:rPr>
          <w:rFonts w:cstheme="minorHAnsi"/>
          <w:sz w:val="18"/>
          <w:szCs w:val="18"/>
        </w:rPr>
        <w:t>, 2019, p. 26.</w:t>
      </w:r>
    </w:p>
  </w:footnote>
  <w:footnote w:id="23">
    <w:p w14:paraId="27D91727" w14:textId="77777777" w:rsidR="00D37FC3" w:rsidRPr="001D072D" w:rsidRDefault="00D37FC3" w:rsidP="004E2148">
      <w:pPr>
        <w:pStyle w:val="FootnoteText"/>
        <w:rPr>
          <w:rFonts w:cstheme="minorHAnsi"/>
          <w:sz w:val="18"/>
          <w:szCs w:val="18"/>
        </w:rPr>
      </w:pPr>
      <w:r w:rsidRPr="001D072D">
        <w:rPr>
          <w:rStyle w:val="FootnoteReference"/>
          <w:rFonts w:cstheme="minorHAnsi"/>
          <w:sz w:val="18"/>
          <w:szCs w:val="18"/>
        </w:rPr>
        <w:footnoteRef/>
      </w:r>
      <w:r w:rsidRPr="001D072D">
        <w:rPr>
          <w:rFonts w:cstheme="minorHAnsi"/>
          <w:sz w:val="18"/>
          <w:szCs w:val="18"/>
        </w:rPr>
        <w:t xml:space="preserve"> </w:t>
      </w:r>
      <w:proofErr w:type="spellStart"/>
      <w:r w:rsidRPr="001D072D">
        <w:rPr>
          <w:rFonts w:cstheme="minorHAnsi"/>
          <w:sz w:val="18"/>
          <w:szCs w:val="18"/>
        </w:rPr>
        <w:t>Institutul</w:t>
      </w:r>
      <w:proofErr w:type="spellEnd"/>
      <w:r w:rsidRPr="001D072D">
        <w:rPr>
          <w:rFonts w:cstheme="minorHAnsi"/>
          <w:sz w:val="18"/>
          <w:szCs w:val="18"/>
        </w:rPr>
        <w:t xml:space="preserve"> National de </w:t>
      </w:r>
      <w:proofErr w:type="spellStart"/>
      <w:r w:rsidRPr="001D072D">
        <w:rPr>
          <w:rFonts w:cstheme="minorHAnsi"/>
          <w:sz w:val="18"/>
          <w:szCs w:val="18"/>
        </w:rPr>
        <w:t>Statistica</w:t>
      </w:r>
      <w:proofErr w:type="spellEnd"/>
      <w:r w:rsidRPr="001D072D">
        <w:rPr>
          <w:rFonts w:cstheme="minorHAnsi"/>
          <w:sz w:val="18"/>
          <w:szCs w:val="18"/>
        </w:rPr>
        <w:t>, 2019, p. 33.</w:t>
      </w:r>
    </w:p>
  </w:footnote>
  <w:footnote w:id="24">
    <w:p w14:paraId="4E59E824" w14:textId="77777777" w:rsidR="00D37FC3" w:rsidRPr="004E2148" w:rsidRDefault="00D37FC3" w:rsidP="004E2148">
      <w:pPr>
        <w:spacing w:before="0" w:after="0"/>
        <w:jc w:val="both"/>
        <w:rPr>
          <w:rFonts w:asciiTheme="minorHAnsi" w:hAnsiTheme="minorHAnsi" w:cstheme="minorHAnsi"/>
          <w:color w:val="auto"/>
          <w:sz w:val="18"/>
          <w:szCs w:val="18"/>
        </w:rPr>
      </w:pPr>
      <w:r w:rsidRPr="001D072D">
        <w:rPr>
          <w:rStyle w:val="FootnoteReference"/>
          <w:rFonts w:asciiTheme="minorHAnsi" w:hAnsiTheme="minorHAnsi" w:cstheme="minorHAnsi"/>
          <w:color w:val="auto"/>
          <w:sz w:val="18"/>
          <w:szCs w:val="18"/>
        </w:rPr>
        <w:footnoteRef/>
      </w:r>
      <w:r w:rsidRPr="001D072D">
        <w:rPr>
          <w:rFonts w:asciiTheme="minorHAnsi" w:hAnsiTheme="minorHAnsi" w:cstheme="minorHAnsi"/>
          <w:color w:val="auto"/>
          <w:sz w:val="18"/>
          <w:szCs w:val="18"/>
        </w:rPr>
        <w:t xml:space="preserve"> World Bank / Minist</w:t>
      </w:r>
      <w:r w:rsidR="006D26FE">
        <w:rPr>
          <w:rFonts w:asciiTheme="minorHAnsi" w:hAnsiTheme="minorHAnsi" w:cstheme="minorHAnsi"/>
          <w:color w:val="auto"/>
          <w:sz w:val="18"/>
          <w:szCs w:val="18"/>
        </w:rPr>
        <w:t>ry of National Education (unspecified</w:t>
      </w:r>
      <w:r w:rsidRPr="001D072D">
        <w:rPr>
          <w:rFonts w:asciiTheme="minorHAnsi" w:hAnsiTheme="minorHAnsi" w:cstheme="minorHAnsi"/>
          <w:color w:val="auto"/>
          <w:sz w:val="18"/>
          <w:szCs w:val="18"/>
        </w:rPr>
        <w:t xml:space="preserve"> year). </w:t>
      </w:r>
      <w:r w:rsidRPr="004E2148">
        <w:rPr>
          <w:rFonts w:asciiTheme="minorHAnsi" w:hAnsiTheme="minorHAnsi" w:cstheme="minorHAnsi"/>
          <w:color w:val="auto"/>
          <w:sz w:val="18"/>
          <w:szCs w:val="18"/>
        </w:rPr>
        <w:t>“</w:t>
      </w:r>
      <w:proofErr w:type="spellStart"/>
      <w:r w:rsidRPr="004E2148">
        <w:rPr>
          <w:rFonts w:asciiTheme="minorHAnsi" w:hAnsiTheme="minorHAnsi" w:cstheme="minorHAnsi"/>
          <w:color w:val="auto"/>
          <w:sz w:val="18"/>
          <w:szCs w:val="18"/>
        </w:rPr>
        <w:t>Analiza</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multidimensională</w:t>
      </w:r>
      <w:proofErr w:type="spellEnd"/>
      <w:r w:rsidRPr="004E2148">
        <w:rPr>
          <w:rFonts w:asciiTheme="minorHAnsi" w:hAnsiTheme="minorHAnsi" w:cstheme="minorHAnsi"/>
          <w:color w:val="auto"/>
          <w:sz w:val="18"/>
          <w:szCs w:val="18"/>
        </w:rPr>
        <w:t xml:space="preserve"> a </w:t>
      </w:r>
      <w:proofErr w:type="spellStart"/>
      <w:r w:rsidRPr="004E2148">
        <w:rPr>
          <w:rFonts w:asciiTheme="minorHAnsi" w:hAnsiTheme="minorHAnsi" w:cstheme="minorHAnsi"/>
          <w:color w:val="auto"/>
          <w:sz w:val="18"/>
          <w:szCs w:val="18"/>
        </w:rPr>
        <w:t>educației</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și</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formării</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profesionale</w:t>
      </w:r>
      <w:proofErr w:type="spellEnd"/>
      <w:r w:rsidRPr="004E2148">
        <w:rPr>
          <w:rFonts w:asciiTheme="minorHAnsi" w:hAnsiTheme="minorHAnsi" w:cstheme="minorHAnsi"/>
          <w:color w:val="auto"/>
          <w:sz w:val="18"/>
          <w:szCs w:val="18"/>
        </w:rPr>
        <w:t xml:space="preserve"> din </w:t>
      </w:r>
      <w:proofErr w:type="spellStart"/>
      <w:r w:rsidRPr="004E2148">
        <w:rPr>
          <w:rFonts w:asciiTheme="minorHAnsi" w:hAnsiTheme="minorHAnsi" w:cstheme="minorHAnsi"/>
          <w:color w:val="auto"/>
          <w:sz w:val="18"/>
          <w:szCs w:val="18"/>
        </w:rPr>
        <w:t>perspectiva</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utilizării</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datelor</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în</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luarea</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deciziilor</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strategice</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privind</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investițiile</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în</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infrastructură</w:t>
      </w:r>
      <w:proofErr w:type="spellEnd"/>
      <w:r w:rsidRPr="004E2148">
        <w:rPr>
          <w:rFonts w:asciiTheme="minorHAnsi" w:hAnsiTheme="minorHAnsi" w:cstheme="minorHAnsi"/>
          <w:color w:val="auto"/>
          <w:sz w:val="18"/>
          <w:szCs w:val="18"/>
        </w:rPr>
        <w:t>”</w:t>
      </w:r>
    </w:p>
    <w:p w14:paraId="6A2B9706" w14:textId="77777777" w:rsidR="00D37FC3" w:rsidRPr="004E2148" w:rsidRDefault="003A63FC" w:rsidP="004E2148">
      <w:pPr>
        <w:spacing w:before="0" w:after="0"/>
        <w:jc w:val="both"/>
        <w:rPr>
          <w:rFonts w:asciiTheme="minorHAnsi" w:hAnsiTheme="minorHAnsi" w:cstheme="minorHAnsi"/>
          <w:sz w:val="18"/>
          <w:szCs w:val="18"/>
        </w:rPr>
      </w:pPr>
      <w:hyperlink r:id="rId13" w:history="1">
        <w:r w:rsidR="00D37FC3" w:rsidRPr="004E2148">
          <w:rPr>
            <w:rStyle w:val="Hyperlink"/>
            <w:rFonts w:asciiTheme="minorHAnsi" w:hAnsiTheme="minorHAnsi" w:cstheme="minorHAnsi"/>
            <w:sz w:val="18"/>
            <w:szCs w:val="18"/>
          </w:rPr>
          <w:t>https://www.edu.ro/sites/default/files/Anexa%201_Analiza%20functionala_0.pdf</w:t>
        </w:r>
      </w:hyperlink>
      <w:r w:rsidR="00D37FC3" w:rsidRPr="004024A2">
        <w:rPr>
          <w:rStyle w:val="Hyperlink"/>
          <w:rFonts w:asciiTheme="minorHAnsi" w:hAnsiTheme="minorHAnsi" w:cstheme="minorHAnsi"/>
          <w:color w:val="auto"/>
          <w:sz w:val="18"/>
          <w:szCs w:val="18"/>
          <w:u w:val="none"/>
        </w:rPr>
        <w:t>.</w:t>
      </w:r>
    </w:p>
    <w:p w14:paraId="254DBB3D" w14:textId="77777777" w:rsidR="00D37FC3" w:rsidRPr="004E2148" w:rsidRDefault="00D37FC3" w:rsidP="004E2148">
      <w:pPr>
        <w:spacing w:before="0" w:after="0"/>
        <w:jc w:val="both"/>
        <w:rPr>
          <w:rFonts w:asciiTheme="minorHAnsi" w:hAnsiTheme="minorHAnsi" w:cstheme="minorHAnsi"/>
          <w:sz w:val="18"/>
          <w:szCs w:val="18"/>
        </w:rPr>
      </w:pPr>
    </w:p>
    <w:p w14:paraId="3214E8E1" w14:textId="77777777" w:rsidR="00D37FC3" w:rsidRPr="004E2148" w:rsidRDefault="00D37FC3" w:rsidP="004E2148">
      <w:pPr>
        <w:spacing w:before="0" w:after="0"/>
        <w:jc w:val="both"/>
        <w:rPr>
          <w:rFonts w:asciiTheme="minorHAnsi" w:hAnsiTheme="minorHAnsi" w:cstheme="minorHAnsi"/>
          <w:sz w:val="18"/>
          <w:szCs w:val="18"/>
        </w:rPr>
      </w:pPr>
    </w:p>
    <w:p w14:paraId="6736D1C8" w14:textId="77777777" w:rsidR="00D37FC3" w:rsidRPr="004E2148" w:rsidRDefault="00D37FC3" w:rsidP="004E2148">
      <w:pPr>
        <w:pStyle w:val="FootnoteText"/>
        <w:rPr>
          <w:rFonts w:cstheme="minorHAnsi"/>
          <w:sz w:val="18"/>
          <w:szCs w:val="18"/>
        </w:rPr>
      </w:pPr>
    </w:p>
  </w:footnote>
  <w:footnote w:id="25">
    <w:p w14:paraId="3D1AE1E3" w14:textId="77777777" w:rsidR="00D37FC3" w:rsidRPr="004E2148" w:rsidRDefault="00D37FC3" w:rsidP="004E2148">
      <w:pPr>
        <w:spacing w:before="0" w:after="0"/>
        <w:jc w:val="both"/>
        <w:rPr>
          <w:rFonts w:asciiTheme="minorHAnsi" w:hAnsiTheme="minorHAnsi" w:cstheme="minorHAnsi"/>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Badescu</w:t>
      </w:r>
      <w:proofErr w:type="spellEnd"/>
      <w:r w:rsidRPr="004E2148">
        <w:rPr>
          <w:rFonts w:asciiTheme="minorHAnsi" w:hAnsiTheme="minorHAnsi" w:cstheme="minorHAnsi"/>
          <w:color w:val="auto"/>
          <w:sz w:val="18"/>
          <w:szCs w:val="18"/>
        </w:rPr>
        <w:t xml:space="preserve">, G., Ivan, C., Angi, D., </w:t>
      </w:r>
      <w:proofErr w:type="spellStart"/>
      <w:r w:rsidRPr="004E2148">
        <w:rPr>
          <w:rFonts w:asciiTheme="minorHAnsi" w:hAnsiTheme="minorHAnsi" w:cstheme="minorHAnsi"/>
          <w:color w:val="auto"/>
          <w:sz w:val="18"/>
          <w:szCs w:val="18"/>
        </w:rPr>
        <w:t>Negru-Subtirica</w:t>
      </w:r>
      <w:proofErr w:type="spellEnd"/>
      <w:r w:rsidRPr="004E2148">
        <w:rPr>
          <w:rFonts w:asciiTheme="minorHAnsi" w:hAnsiTheme="minorHAnsi" w:cstheme="minorHAnsi"/>
          <w:color w:val="auto"/>
          <w:sz w:val="18"/>
          <w:szCs w:val="18"/>
        </w:rPr>
        <w:t xml:space="preserve">, O. </w:t>
      </w:r>
      <w:r w:rsidR="006D26FE">
        <w:rPr>
          <w:rFonts w:asciiTheme="minorHAnsi" w:hAnsiTheme="minorHAnsi" w:cstheme="minorHAnsi"/>
          <w:color w:val="auto"/>
          <w:sz w:val="18"/>
          <w:szCs w:val="18"/>
        </w:rPr>
        <w:t>(</w:t>
      </w:r>
      <w:r w:rsidRPr="004E2148">
        <w:rPr>
          <w:rFonts w:asciiTheme="minorHAnsi" w:hAnsiTheme="minorHAnsi" w:cstheme="minorHAnsi"/>
          <w:color w:val="auto"/>
          <w:sz w:val="18"/>
          <w:szCs w:val="18"/>
        </w:rPr>
        <w:t>2018</w:t>
      </w:r>
      <w:r w:rsidR="006D26FE">
        <w:rPr>
          <w:rFonts w:asciiTheme="minorHAnsi" w:hAnsiTheme="minorHAnsi" w:cstheme="minorHAnsi"/>
          <w:color w:val="auto"/>
          <w:sz w:val="18"/>
          <w:szCs w:val="18"/>
        </w:rPr>
        <w:t>)</w:t>
      </w:r>
      <w:r w:rsidRPr="004E2148">
        <w:rPr>
          <w:rFonts w:asciiTheme="minorHAnsi" w:hAnsiTheme="minorHAnsi" w:cstheme="minorHAnsi"/>
          <w:color w:val="auto"/>
          <w:sz w:val="18"/>
          <w:szCs w:val="18"/>
        </w:rPr>
        <w:t>. “</w:t>
      </w:r>
      <w:proofErr w:type="spellStart"/>
      <w:r w:rsidRPr="004E2148">
        <w:rPr>
          <w:rFonts w:asciiTheme="minorHAnsi" w:hAnsiTheme="minorHAnsi" w:cstheme="minorHAnsi"/>
          <w:color w:val="auto"/>
          <w:sz w:val="18"/>
          <w:szCs w:val="18"/>
        </w:rPr>
        <w:t>Educatie</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pentru</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democratie</w:t>
      </w:r>
      <w:proofErr w:type="spellEnd"/>
      <w:r w:rsidRPr="004E2148">
        <w:rPr>
          <w:rFonts w:asciiTheme="minorHAnsi" w:hAnsiTheme="minorHAnsi" w:cstheme="minorHAnsi"/>
          <w:color w:val="auto"/>
          <w:sz w:val="18"/>
          <w:szCs w:val="18"/>
        </w:rPr>
        <w:t xml:space="preserve"> in </w:t>
      </w:r>
      <w:proofErr w:type="spellStart"/>
      <w:r w:rsidRPr="004E2148">
        <w:rPr>
          <w:rFonts w:asciiTheme="minorHAnsi" w:hAnsiTheme="minorHAnsi" w:cstheme="minorHAnsi"/>
          <w:color w:val="auto"/>
          <w:sz w:val="18"/>
          <w:szCs w:val="18"/>
        </w:rPr>
        <w:t>scolile</w:t>
      </w:r>
      <w:proofErr w:type="spellEnd"/>
      <w:r w:rsidRPr="004E2148">
        <w:rPr>
          <w:rFonts w:asciiTheme="minorHAnsi" w:hAnsiTheme="minorHAnsi" w:cstheme="minorHAnsi"/>
          <w:color w:val="auto"/>
          <w:sz w:val="18"/>
          <w:szCs w:val="18"/>
        </w:rPr>
        <w:t xml:space="preserve"> din Romania”, Friedrich Ebert Stiftung, </w:t>
      </w:r>
      <w:proofErr w:type="spellStart"/>
      <w:r w:rsidRPr="004E2148">
        <w:rPr>
          <w:rFonts w:asciiTheme="minorHAnsi" w:hAnsiTheme="minorHAnsi" w:cstheme="minorHAnsi"/>
          <w:color w:val="auto"/>
          <w:sz w:val="18"/>
          <w:szCs w:val="18"/>
        </w:rPr>
        <w:t>Bucuresti</w:t>
      </w:r>
      <w:proofErr w:type="spellEnd"/>
      <w:r w:rsidRPr="004E2148">
        <w:rPr>
          <w:rFonts w:asciiTheme="minorHAnsi" w:hAnsiTheme="minorHAnsi" w:cstheme="minorHAnsi"/>
          <w:color w:val="auto"/>
          <w:sz w:val="18"/>
          <w:szCs w:val="18"/>
        </w:rPr>
        <w:t xml:space="preserve">. </w:t>
      </w:r>
    </w:p>
  </w:footnote>
  <w:footnote w:id="26">
    <w:p w14:paraId="4B58A173"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006D26FE">
        <w:rPr>
          <w:rFonts w:cstheme="minorHAnsi"/>
          <w:sz w:val="18"/>
          <w:szCs w:val="18"/>
        </w:rPr>
        <w:t xml:space="preserve"> </w:t>
      </w:r>
      <w:proofErr w:type="spellStart"/>
      <w:r w:rsidR="006D26FE">
        <w:rPr>
          <w:rFonts w:cstheme="minorHAnsi"/>
          <w:sz w:val="18"/>
          <w:szCs w:val="18"/>
        </w:rPr>
        <w:t>Badescu</w:t>
      </w:r>
      <w:proofErr w:type="spellEnd"/>
      <w:r w:rsidR="006D26FE">
        <w:rPr>
          <w:rFonts w:cstheme="minorHAnsi"/>
          <w:sz w:val="18"/>
          <w:szCs w:val="18"/>
        </w:rPr>
        <w:t xml:space="preserve"> et al, </w:t>
      </w:r>
      <w:r w:rsidRPr="004E2148">
        <w:rPr>
          <w:rFonts w:cstheme="minorHAnsi"/>
          <w:sz w:val="18"/>
          <w:szCs w:val="18"/>
        </w:rPr>
        <w:t>2018, pp. 31-32.</w:t>
      </w:r>
    </w:p>
  </w:footnote>
  <w:footnote w:id="27">
    <w:p w14:paraId="22368668"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w:t>
      </w:r>
      <w:proofErr w:type="spellStart"/>
      <w:r w:rsidRPr="004E2148">
        <w:rPr>
          <w:rFonts w:cstheme="minorHAnsi"/>
          <w:sz w:val="18"/>
          <w:szCs w:val="18"/>
        </w:rPr>
        <w:t>Badescu</w:t>
      </w:r>
      <w:proofErr w:type="spellEnd"/>
      <w:r w:rsidRPr="004E2148">
        <w:rPr>
          <w:rFonts w:cstheme="minorHAnsi"/>
          <w:sz w:val="18"/>
          <w:szCs w:val="18"/>
        </w:rPr>
        <w:t xml:space="preserve"> et al 2018, pp. 41-42.</w:t>
      </w:r>
    </w:p>
  </w:footnote>
  <w:footnote w:id="28">
    <w:p w14:paraId="20CEFE27" w14:textId="77777777" w:rsidR="00D37FC3" w:rsidRPr="004E2148" w:rsidRDefault="00D37FC3" w:rsidP="004E2148">
      <w:pPr>
        <w:tabs>
          <w:tab w:val="left" w:pos="4055"/>
        </w:tabs>
        <w:spacing w:before="0" w:after="0"/>
        <w:jc w:val="both"/>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Badescu</w:t>
      </w:r>
      <w:proofErr w:type="spellEnd"/>
      <w:r w:rsidRPr="004E2148">
        <w:rPr>
          <w:rFonts w:asciiTheme="minorHAnsi" w:hAnsiTheme="minorHAnsi" w:cstheme="minorHAnsi"/>
          <w:color w:val="auto"/>
          <w:sz w:val="18"/>
          <w:szCs w:val="18"/>
        </w:rPr>
        <w:t xml:space="preserve">, G., </w:t>
      </w:r>
      <w:proofErr w:type="spellStart"/>
      <w:r w:rsidRPr="004E2148">
        <w:rPr>
          <w:rFonts w:asciiTheme="minorHAnsi" w:hAnsiTheme="minorHAnsi" w:cstheme="minorHAnsi"/>
          <w:color w:val="auto"/>
          <w:sz w:val="18"/>
          <w:szCs w:val="18"/>
        </w:rPr>
        <w:t>Sandu</w:t>
      </w:r>
      <w:proofErr w:type="spellEnd"/>
      <w:r w:rsidRPr="004E2148">
        <w:rPr>
          <w:rFonts w:asciiTheme="minorHAnsi" w:hAnsiTheme="minorHAnsi" w:cstheme="minorHAnsi"/>
          <w:color w:val="auto"/>
          <w:sz w:val="18"/>
          <w:szCs w:val="18"/>
        </w:rPr>
        <w:t xml:space="preserve">, D., Angi, D., </w:t>
      </w:r>
      <w:proofErr w:type="spellStart"/>
      <w:r w:rsidRPr="004E2148">
        <w:rPr>
          <w:rFonts w:asciiTheme="minorHAnsi" w:hAnsiTheme="minorHAnsi" w:cstheme="minorHAnsi"/>
          <w:color w:val="auto"/>
          <w:sz w:val="18"/>
          <w:szCs w:val="18"/>
        </w:rPr>
        <w:t>Greab</w:t>
      </w:r>
      <w:proofErr w:type="spellEnd"/>
      <w:r w:rsidRPr="004E2148">
        <w:rPr>
          <w:rFonts w:asciiTheme="minorHAnsi" w:hAnsiTheme="minorHAnsi" w:cstheme="minorHAnsi"/>
          <w:color w:val="auto"/>
          <w:sz w:val="18"/>
          <w:szCs w:val="18"/>
        </w:rPr>
        <w:t>. C. (2019)</w:t>
      </w:r>
      <w:r w:rsidR="006D26FE">
        <w:rPr>
          <w:rFonts w:asciiTheme="minorHAnsi" w:hAnsiTheme="minorHAnsi" w:cstheme="minorHAnsi"/>
          <w:color w:val="auto"/>
          <w:sz w:val="18"/>
          <w:szCs w:val="18"/>
        </w:rPr>
        <w:t>.</w:t>
      </w:r>
      <w:r w:rsidRPr="004E2148">
        <w:rPr>
          <w:rFonts w:asciiTheme="minorHAnsi" w:hAnsiTheme="minorHAnsi" w:cstheme="minorHAnsi"/>
          <w:color w:val="auto"/>
          <w:sz w:val="18"/>
          <w:szCs w:val="18"/>
        </w:rPr>
        <w:t xml:space="preserve"> </w:t>
      </w:r>
      <w:r w:rsidRPr="004E2148">
        <w:rPr>
          <w:rFonts w:asciiTheme="minorHAnsi" w:hAnsiTheme="minorHAnsi" w:cstheme="minorHAnsi"/>
          <w:i/>
          <w:color w:val="auto"/>
          <w:sz w:val="18"/>
          <w:szCs w:val="18"/>
        </w:rPr>
        <w:t>Youth Study Romania. 2018/2019</w:t>
      </w:r>
      <w:r w:rsidRPr="004E2148">
        <w:rPr>
          <w:rFonts w:asciiTheme="minorHAnsi" w:hAnsiTheme="minorHAnsi" w:cstheme="minorHAnsi"/>
          <w:color w:val="auto"/>
          <w:sz w:val="18"/>
          <w:szCs w:val="18"/>
        </w:rPr>
        <w:t xml:space="preserve">. Friedrich Ebert Stiftung, </w:t>
      </w:r>
      <w:proofErr w:type="spellStart"/>
      <w:r w:rsidRPr="004E2148">
        <w:rPr>
          <w:rFonts w:asciiTheme="minorHAnsi" w:hAnsiTheme="minorHAnsi" w:cstheme="minorHAnsi"/>
          <w:color w:val="auto"/>
          <w:sz w:val="18"/>
          <w:szCs w:val="18"/>
        </w:rPr>
        <w:t>Bucuresti</w:t>
      </w:r>
      <w:proofErr w:type="spellEnd"/>
      <w:r w:rsidRPr="004E2148">
        <w:rPr>
          <w:rFonts w:asciiTheme="minorHAnsi" w:hAnsiTheme="minorHAnsi" w:cstheme="minorHAnsi"/>
          <w:color w:val="auto"/>
          <w:sz w:val="18"/>
          <w:szCs w:val="18"/>
        </w:rPr>
        <w:t xml:space="preserve">. </w:t>
      </w:r>
    </w:p>
  </w:footnote>
  <w:footnote w:id="29">
    <w:p w14:paraId="3FF8E4C0"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w:t>
      </w:r>
      <w:proofErr w:type="spellStart"/>
      <w:r w:rsidRPr="004E2148">
        <w:rPr>
          <w:rFonts w:cstheme="minorHAnsi"/>
          <w:sz w:val="18"/>
          <w:szCs w:val="18"/>
        </w:rPr>
        <w:t>Badescu</w:t>
      </w:r>
      <w:proofErr w:type="spellEnd"/>
      <w:r w:rsidRPr="004E2148">
        <w:rPr>
          <w:rFonts w:cstheme="minorHAnsi"/>
          <w:sz w:val="18"/>
          <w:szCs w:val="18"/>
        </w:rPr>
        <w:t xml:space="preserve"> et al </w:t>
      </w:r>
      <w:r w:rsidR="006D26FE">
        <w:rPr>
          <w:rFonts w:cstheme="minorHAnsi"/>
          <w:sz w:val="18"/>
          <w:szCs w:val="18"/>
        </w:rPr>
        <w:t>(</w:t>
      </w:r>
      <w:r w:rsidRPr="004E2148">
        <w:rPr>
          <w:rFonts w:cstheme="minorHAnsi"/>
          <w:sz w:val="18"/>
          <w:szCs w:val="18"/>
        </w:rPr>
        <w:t>2019</w:t>
      </w:r>
      <w:r w:rsidR="006D26FE">
        <w:rPr>
          <w:rFonts w:cstheme="minorHAnsi"/>
          <w:sz w:val="18"/>
          <w:szCs w:val="18"/>
        </w:rPr>
        <w:t>).</w:t>
      </w:r>
      <w:r w:rsidRPr="004E2148">
        <w:rPr>
          <w:rFonts w:cstheme="minorHAnsi"/>
          <w:sz w:val="18"/>
          <w:szCs w:val="18"/>
        </w:rPr>
        <w:t>, p. 41</w:t>
      </w:r>
    </w:p>
  </w:footnote>
  <w:footnote w:id="30">
    <w:p w14:paraId="4A6C77A3" w14:textId="77777777" w:rsidR="00D37FC3" w:rsidRPr="004E2148" w:rsidRDefault="00D37FC3" w:rsidP="004E2148">
      <w:pPr>
        <w:pStyle w:val="ListParagraph"/>
        <w:tabs>
          <w:tab w:val="left" w:pos="4055"/>
        </w:tabs>
        <w:spacing w:after="0" w:line="240" w:lineRule="auto"/>
        <w:ind w:left="0"/>
        <w:jc w:val="both"/>
        <w:rPr>
          <w:rFonts w:cstheme="minorHAnsi"/>
          <w:sz w:val="18"/>
          <w:szCs w:val="18"/>
        </w:rPr>
      </w:pPr>
      <w:r w:rsidRPr="004E2148">
        <w:rPr>
          <w:rStyle w:val="FootnoteReference"/>
          <w:rFonts w:cstheme="minorHAnsi"/>
          <w:sz w:val="18"/>
          <w:szCs w:val="18"/>
        </w:rPr>
        <w:footnoteRef/>
      </w:r>
      <w:r>
        <w:rPr>
          <w:rFonts w:cstheme="minorHAnsi"/>
          <w:sz w:val="18"/>
          <w:szCs w:val="18"/>
        </w:rPr>
        <w:t xml:space="preserve"> </w:t>
      </w:r>
      <w:proofErr w:type="spellStart"/>
      <w:r w:rsidRPr="004E2148">
        <w:rPr>
          <w:rFonts w:cstheme="minorHAnsi"/>
          <w:sz w:val="18"/>
          <w:szCs w:val="18"/>
        </w:rPr>
        <w:t>Fartusnic</w:t>
      </w:r>
      <w:proofErr w:type="spellEnd"/>
      <w:r w:rsidRPr="004E2148">
        <w:rPr>
          <w:rFonts w:cstheme="minorHAnsi"/>
          <w:sz w:val="18"/>
          <w:szCs w:val="18"/>
        </w:rPr>
        <w:t xml:space="preserve">, C., Florian, B., </w:t>
      </w:r>
      <w:proofErr w:type="spellStart"/>
      <w:r w:rsidRPr="004E2148">
        <w:rPr>
          <w:rFonts w:cstheme="minorHAnsi"/>
          <w:sz w:val="18"/>
          <w:szCs w:val="18"/>
        </w:rPr>
        <w:t>Iosifescu</w:t>
      </w:r>
      <w:proofErr w:type="spellEnd"/>
      <w:r w:rsidRPr="004E2148">
        <w:rPr>
          <w:rFonts w:cstheme="minorHAnsi"/>
          <w:sz w:val="18"/>
          <w:szCs w:val="18"/>
        </w:rPr>
        <w:t xml:space="preserve">, S., </w:t>
      </w:r>
      <w:proofErr w:type="spellStart"/>
      <w:r w:rsidRPr="004E2148">
        <w:rPr>
          <w:rFonts w:cstheme="minorHAnsi"/>
          <w:sz w:val="18"/>
          <w:szCs w:val="18"/>
        </w:rPr>
        <w:t>Mantaluta</w:t>
      </w:r>
      <w:proofErr w:type="spellEnd"/>
      <w:r w:rsidRPr="004E2148">
        <w:rPr>
          <w:rFonts w:cstheme="minorHAnsi"/>
          <w:sz w:val="18"/>
          <w:szCs w:val="18"/>
        </w:rPr>
        <w:t>, O. (2014)</w:t>
      </w:r>
      <w:r w:rsidR="006D26FE">
        <w:rPr>
          <w:rFonts w:cstheme="minorHAnsi"/>
          <w:sz w:val="18"/>
          <w:szCs w:val="18"/>
        </w:rPr>
        <w:t>.</w:t>
      </w:r>
      <w:r w:rsidRPr="004E2148">
        <w:rPr>
          <w:rFonts w:cstheme="minorHAnsi"/>
          <w:sz w:val="18"/>
          <w:szCs w:val="18"/>
        </w:rPr>
        <w:t xml:space="preserve"> </w:t>
      </w:r>
      <w:proofErr w:type="spellStart"/>
      <w:r w:rsidRPr="004E2148">
        <w:rPr>
          <w:rFonts w:cstheme="minorHAnsi"/>
          <w:i/>
          <w:sz w:val="18"/>
          <w:szCs w:val="18"/>
        </w:rPr>
        <w:t>Finantarea</w:t>
      </w:r>
      <w:proofErr w:type="spellEnd"/>
      <w:r w:rsidRPr="004E2148">
        <w:rPr>
          <w:rFonts w:cstheme="minorHAnsi"/>
          <w:i/>
          <w:sz w:val="18"/>
          <w:szCs w:val="18"/>
        </w:rPr>
        <w:t xml:space="preserve"> </w:t>
      </w:r>
      <w:proofErr w:type="spellStart"/>
      <w:r w:rsidRPr="004E2148">
        <w:rPr>
          <w:rFonts w:cstheme="minorHAnsi"/>
          <w:i/>
          <w:sz w:val="18"/>
          <w:szCs w:val="18"/>
        </w:rPr>
        <w:t>sistemului</w:t>
      </w:r>
      <w:proofErr w:type="spellEnd"/>
      <w:r w:rsidRPr="004E2148">
        <w:rPr>
          <w:rFonts w:cstheme="minorHAnsi"/>
          <w:i/>
          <w:sz w:val="18"/>
          <w:szCs w:val="18"/>
        </w:rPr>
        <w:t xml:space="preserve"> de </w:t>
      </w:r>
      <w:proofErr w:type="spellStart"/>
      <w:r w:rsidRPr="004E2148">
        <w:rPr>
          <w:rFonts w:cstheme="minorHAnsi"/>
          <w:i/>
          <w:sz w:val="18"/>
          <w:szCs w:val="18"/>
        </w:rPr>
        <w:t>invatamant</w:t>
      </w:r>
      <w:proofErr w:type="spellEnd"/>
      <w:r w:rsidRPr="004E2148">
        <w:rPr>
          <w:rFonts w:cstheme="minorHAnsi"/>
          <w:i/>
          <w:sz w:val="18"/>
          <w:szCs w:val="18"/>
        </w:rPr>
        <w:t xml:space="preserve"> pre-</w:t>
      </w:r>
      <w:proofErr w:type="spellStart"/>
      <w:r w:rsidRPr="004E2148">
        <w:rPr>
          <w:rFonts w:cstheme="minorHAnsi"/>
          <w:i/>
          <w:sz w:val="18"/>
          <w:szCs w:val="18"/>
        </w:rPr>
        <w:t>universitar</w:t>
      </w:r>
      <w:proofErr w:type="spellEnd"/>
      <w:r w:rsidRPr="004E2148">
        <w:rPr>
          <w:rFonts w:cstheme="minorHAnsi"/>
          <w:i/>
          <w:sz w:val="18"/>
          <w:szCs w:val="18"/>
        </w:rPr>
        <w:t xml:space="preserve"> pe </w:t>
      </w:r>
      <w:proofErr w:type="spellStart"/>
      <w:r w:rsidRPr="004E2148">
        <w:rPr>
          <w:rFonts w:cstheme="minorHAnsi"/>
          <w:i/>
          <w:sz w:val="18"/>
          <w:szCs w:val="18"/>
        </w:rPr>
        <w:t>baza</w:t>
      </w:r>
      <w:proofErr w:type="spellEnd"/>
      <w:r w:rsidRPr="004E2148">
        <w:rPr>
          <w:rFonts w:cstheme="minorHAnsi"/>
          <w:i/>
          <w:sz w:val="18"/>
          <w:szCs w:val="18"/>
        </w:rPr>
        <w:t xml:space="preserve"> </w:t>
      </w:r>
      <w:proofErr w:type="spellStart"/>
      <w:r w:rsidRPr="004E2148">
        <w:rPr>
          <w:rFonts w:cstheme="minorHAnsi"/>
          <w:i/>
          <w:sz w:val="18"/>
          <w:szCs w:val="18"/>
        </w:rPr>
        <w:t>standardelor</w:t>
      </w:r>
      <w:proofErr w:type="spellEnd"/>
      <w:r w:rsidRPr="004E2148">
        <w:rPr>
          <w:rFonts w:cstheme="minorHAnsi"/>
          <w:i/>
          <w:sz w:val="18"/>
          <w:szCs w:val="18"/>
        </w:rPr>
        <w:t xml:space="preserve"> de cost: o </w:t>
      </w:r>
      <w:proofErr w:type="spellStart"/>
      <w:r w:rsidRPr="004E2148">
        <w:rPr>
          <w:rFonts w:cstheme="minorHAnsi"/>
          <w:i/>
          <w:sz w:val="18"/>
          <w:szCs w:val="18"/>
        </w:rPr>
        <w:t>evaluare</w:t>
      </w:r>
      <w:proofErr w:type="spellEnd"/>
      <w:r w:rsidRPr="004E2148">
        <w:rPr>
          <w:rFonts w:cstheme="minorHAnsi"/>
          <w:i/>
          <w:sz w:val="18"/>
          <w:szCs w:val="18"/>
        </w:rPr>
        <w:t xml:space="preserve"> </w:t>
      </w:r>
      <w:proofErr w:type="spellStart"/>
      <w:r w:rsidRPr="004E2148">
        <w:rPr>
          <w:rFonts w:cstheme="minorHAnsi"/>
          <w:i/>
          <w:sz w:val="18"/>
          <w:szCs w:val="18"/>
        </w:rPr>
        <w:t>curenta</w:t>
      </w:r>
      <w:proofErr w:type="spellEnd"/>
      <w:r w:rsidRPr="004E2148">
        <w:rPr>
          <w:rFonts w:cstheme="minorHAnsi"/>
          <w:i/>
          <w:sz w:val="18"/>
          <w:szCs w:val="18"/>
        </w:rPr>
        <w:t xml:space="preserve"> din </w:t>
      </w:r>
      <w:proofErr w:type="spellStart"/>
      <w:r w:rsidRPr="004E2148">
        <w:rPr>
          <w:rFonts w:cstheme="minorHAnsi"/>
          <w:i/>
          <w:sz w:val="18"/>
          <w:szCs w:val="18"/>
        </w:rPr>
        <w:t>perspectiva</w:t>
      </w:r>
      <w:proofErr w:type="spellEnd"/>
      <w:r w:rsidRPr="004E2148">
        <w:rPr>
          <w:rFonts w:cstheme="minorHAnsi"/>
          <w:i/>
          <w:sz w:val="18"/>
          <w:szCs w:val="18"/>
        </w:rPr>
        <w:t xml:space="preserve"> </w:t>
      </w:r>
      <w:proofErr w:type="spellStart"/>
      <w:r w:rsidRPr="004E2148">
        <w:rPr>
          <w:rFonts w:cstheme="minorHAnsi"/>
          <w:i/>
          <w:sz w:val="18"/>
          <w:szCs w:val="18"/>
        </w:rPr>
        <w:t>echitatii</w:t>
      </w:r>
      <w:proofErr w:type="spellEnd"/>
      <w:r>
        <w:rPr>
          <w:rFonts w:cstheme="minorHAnsi"/>
          <w:sz w:val="18"/>
          <w:szCs w:val="18"/>
        </w:rPr>
        <w:t>,</w:t>
      </w:r>
      <w:r w:rsidRPr="004E2148">
        <w:rPr>
          <w:rFonts w:cstheme="minorHAnsi"/>
          <w:sz w:val="18"/>
          <w:szCs w:val="18"/>
        </w:rPr>
        <w:t xml:space="preserve"> </w:t>
      </w:r>
      <w:proofErr w:type="spellStart"/>
      <w:r w:rsidRPr="004E2148">
        <w:rPr>
          <w:rFonts w:cstheme="minorHAnsi"/>
          <w:sz w:val="18"/>
          <w:szCs w:val="18"/>
        </w:rPr>
        <w:t>Bucuresti</w:t>
      </w:r>
      <w:proofErr w:type="spellEnd"/>
      <w:r w:rsidRPr="004E2148">
        <w:rPr>
          <w:rFonts w:cstheme="minorHAnsi"/>
          <w:sz w:val="18"/>
          <w:szCs w:val="18"/>
        </w:rPr>
        <w:t xml:space="preserve">: </w:t>
      </w:r>
      <w:proofErr w:type="spellStart"/>
      <w:r w:rsidRPr="004E2148">
        <w:rPr>
          <w:rFonts w:cstheme="minorHAnsi"/>
          <w:sz w:val="18"/>
          <w:szCs w:val="18"/>
        </w:rPr>
        <w:t>Vanemonde</w:t>
      </w:r>
      <w:proofErr w:type="spellEnd"/>
      <w:r w:rsidRPr="004E2148">
        <w:rPr>
          <w:rFonts w:cstheme="minorHAnsi"/>
          <w:sz w:val="18"/>
          <w:szCs w:val="18"/>
        </w:rPr>
        <w:t>.</w:t>
      </w:r>
    </w:p>
  </w:footnote>
  <w:footnote w:id="31">
    <w:p w14:paraId="3E36728B"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w:t>
      </w:r>
      <w:proofErr w:type="spellStart"/>
      <w:r w:rsidRPr="004E2148">
        <w:rPr>
          <w:rFonts w:cstheme="minorHAnsi"/>
          <w:sz w:val="18"/>
          <w:szCs w:val="18"/>
        </w:rPr>
        <w:t>Fartusnic</w:t>
      </w:r>
      <w:proofErr w:type="spellEnd"/>
      <w:r w:rsidRPr="004E2148">
        <w:rPr>
          <w:rFonts w:cstheme="minorHAnsi"/>
          <w:sz w:val="18"/>
          <w:szCs w:val="18"/>
        </w:rPr>
        <w:t xml:space="preserve"> et al, 2014, p.79. </w:t>
      </w:r>
    </w:p>
  </w:footnote>
  <w:footnote w:id="32">
    <w:p w14:paraId="49D51F87" w14:textId="77777777" w:rsidR="00D37FC3" w:rsidRPr="004E2148" w:rsidRDefault="00D37FC3" w:rsidP="004E2148">
      <w:pPr>
        <w:tabs>
          <w:tab w:val="left" w:pos="4055"/>
        </w:tabs>
        <w:spacing w:before="0" w:after="0"/>
        <w:jc w:val="both"/>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Iosifescu</w:t>
      </w:r>
      <w:proofErr w:type="spellEnd"/>
      <w:r w:rsidRPr="004E2148">
        <w:rPr>
          <w:rFonts w:asciiTheme="minorHAnsi" w:hAnsiTheme="minorHAnsi" w:cstheme="minorHAnsi"/>
          <w:color w:val="auto"/>
          <w:sz w:val="18"/>
          <w:szCs w:val="18"/>
        </w:rPr>
        <w:t>, S., Novak, C. (2014)</w:t>
      </w:r>
      <w:r w:rsidR="006D26FE">
        <w:rPr>
          <w:rFonts w:asciiTheme="minorHAnsi" w:hAnsiTheme="minorHAnsi" w:cstheme="minorHAnsi"/>
          <w:color w:val="auto"/>
          <w:sz w:val="18"/>
          <w:szCs w:val="18"/>
        </w:rPr>
        <w:t>.</w:t>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i/>
          <w:color w:val="auto"/>
          <w:sz w:val="18"/>
          <w:szCs w:val="18"/>
        </w:rPr>
        <w:t>Cercetare</w:t>
      </w:r>
      <w:proofErr w:type="spellEnd"/>
      <w:r w:rsidRPr="004E2148">
        <w:rPr>
          <w:rFonts w:asciiTheme="minorHAnsi" w:hAnsiTheme="minorHAnsi" w:cstheme="minorHAnsi"/>
          <w:i/>
          <w:color w:val="auto"/>
          <w:sz w:val="18"/>
          <w:szCs w:val="18"/>
        </w:rPr>
        <w:t xml:space="preserve"> cu </w:t>
      </w:r>
      <w:proofErr w:type="spellStart"/>
      <w:r w:rsidRPr="004E2148">
        <w:rPr>
          <w:rFonts w:asciiTheme="minorHAnsi" w:hAnsiTheme="minorHAnsi" w:cstheme="minorHAnsi"/>
          <w:i/>
          <w:color w:val="auto"/>
          <w:sz w:val="18"/>
          <w:szCs w:val="18"/>
        </w:rPr>
        <w:t>privire</w:t>
      </w:r>
      <w:proofErr w:type="spellEnd"/>
      <w:r w:rsidRPr="004E2148">
        <w:rPr>
          <w:rFonts w:asciiTheme="minorHAnsi" w:hAnsiTheme="minorHAnsi" w:cstheme="minorHAnsi"/>
          <w:i/>
          <w:color w:val="auto"/>
          <w:sz w:val="18"/>
          <w:szCs w:val="18"/>
        </w:rPr>
        <w:t xml:space="preserve"> la </w:t>
      </w:r>
      <w:proofErr w:type="spellStart"/>
      <w:r w:rsidRPr="004E2148">
        <w:rPr>
          <w:rFonts w:asciiTheme="minorHAnsi" w:hAnsiTheme="minorHAnsi" w:cstheme="minorHAnsi"/>
          <w:i/>
          <w:color w:val="auto"/>
          <w:sz w:val="18"/>
          <w:szCs w:val="18"/>
        </w:rPr>
        <w:t>calitatea</w:t>
      </w:r>
      <w:proofErr w:type="spellEnd"/>
      <w:r w:rsidRPr="004E2148">
        <w:rPr>
          <w:rFonts w:asciiTheme="minorHAnsi" w:hAnsiTheme="minorHAnsi" w:cstheme="minorHAnsi"/>
          <w:i/>
          <w:color w:val="auto"/>
          <w:sz w:val="18"/>
          <w:szCs w:val="18"/>
        </w:rPr>
        <w:t xml:space="preserve"> </w:t>
      </w:r>
      <w:proofErr w:type="spellStart"/>
      <w:r w:rsidRPr="004E2148">
        <w:rPr>
          <w:rFonts w:asciiTheme="minorHAnsi" w:hAnsiTheme="minorHAnsi" w:cstheme="minorHAnsi"/>
          <w:i/>
          <w:color w:val="auto"/>
          <w:sz w:val="18"/>
          <w:szCs w:val="18"/>
        </w:rPr>
        <w:t>educatiei</w:t>
      </w:r>
      <w:proofErr w:type="spellEnd"/>
      <w:r w:rsidRPr="004E2148">
        <w:rPr>
          <w:rFonts w:asciiTheme="minorHAnsi" w:hAnsiTheme="minorHAnsi" w:cstheme="minorHAnsi"/>
          <w:i/>
          <w:color w:val="auto"/>
          <w:sz w:val="18"/>
          <w:szCs w:val="18"/>
        </w:rPr>
        <w:t xml:space="preserve"> in </w:t>
      </w:r>
      <w:proofErr w:type="spellStart"/>
      <w:r w:rsidRPr="004E2148">
        <w:rPr>
          <w:rFonts w:asciiTheme="minorHAnsi" w:hAnsiTheme="minorHAnsi" w:cstheme="minorHAnsi"/>
          <w:i/>
          <w:color w:val="auto"/>
          <w:sz w:val="18"/>
          <w:szCs w:val="18"/>
        </w:rPr>
        <w:t>mediul</w:t>
      </w:r>
      <w:proofErr w:type="spellEnd"/>
      <w:r w:rsidRPr="004E2148">
        <w:rPr>
          <w:rFonts w:asciiTheme="minorHAnsi" w:hAnsiTheme="minorHAnsi" w:cstheme="minorHAnsi"/>
          <w:i/>
          <w:color w:val="auto"/>
          <w:sz w:val="18"/>
          <w:szCs w:val="18"/>
        </w:rPr>
        <w:t xml:space="preserve"> rural</w:t>
      </w:r>
      <w:r w:rsidRPr="004E2148">
        <w:rPr>
          <w:rFonts w:asciiTheme="minorHAnsi" w:hAnsiTheme="minorHAnsi" w:cstheme="minorHAnsi"/>
          <w:color w:val="auto"/>
          <w:sz w:val="18"/>
          <w:szCs w:val="18"/>
        </w:rPr>
        <w:t xml:space="preserve">, Cluj-Napoca: </w:t>
      </w:r>
      <w:proofErr w:type="spellStart"/>
      <w:r w:rsidRPr="004E2148">
        <w:rPr>
          <w:rFonts w:asciiTheme="minorHAnsi" w:hAnsiTheme="minorHAnsi" w:cstheme="minorHAnsi"/>
          <w:color w:val="auto"/>
          <w:sz w:val="18"/>
          <w:szCs w:val="18"/>
        </w:rPr>
        <w:t>Risoprint</w:t>
      </w:r>
      <w:proofErr w:type="spellEnd"/>
      <w:r w:rsidRPr="004E2148">
        <w:rPr>
          <w:rFonts w:asciiTheme="minorHAnsi" w:hAnsiTheme="minorHAnsi" w:cstheme="minorHAnsi"/>
          <w:color w:val="auto"/>
          <w:sz w:val="18"/>
          <w:szCs w:val="18"/>
        </w:rPr>
        <w:t>.</w:t>
      </w:r>
    </w:p>
  </w:footnote>
  <w:footnote w:id="33">
    <w:p w14:paraId="10276081" w14:textId="77777777" w:rsidR="00D37FC3" w:rsidRPr="004E2148" w:rsidRDefault="00D37FC3" w:rsidP="004E2148">
      <w:pPr>
        <w:tabs>
          <w:tab w:val="left" w:pos="4055"/>
        </w:tabs>
        <w:spacing w:before="0" w:after="0"/>
        <w:jc w:val="both"/>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Petrescu, C., </w:t>
      </w:r>
      <w:proofErr w:type="spellStart"/>
      <w:r w:rsidRPr="004E2148">
        <w:rPr>
          <w:rFonts w:asciiTheme="minorHAnsi" w:hAnsiTheme="minorHAnsi" w:cstheme="minorHAnsi"/>
          <w:color w:val="auto"/>
          <w:sz w:val="18"/>
          <w:szCs w:val="18"/>
        </w:rPr>
        <w:t>Negrut</w:t>
      </w:r>
      <w:proofErr w:type="spellEnd"/>
      <w:r w:rsidRPr="004E2148">
        <w:rPr>
          <w:rFonts w:asciiTheme="minorHAnsi" w:hAnsiTheme="minorHAnsi" w:cstheme="minorHAnsi"/>
          <w:color w:val="auto"/>
          <w:sz w:val="18"/>
          <w:szCs w:val="18"/>
        </w:rPr>
        <w:t xml:space="preserve">, A., </w:t>
      </w:r>
      <w:proofErr w:type="spellStart"/>
      <w:r w:rsidRPr="004E2148">
        <w:rPr>
          <w:rFonts w:asciiTheme="minorHAnsi" w:hAnsiTheme="minorHAnsi" w:cstheme="minorHAnsi"/>
          <w:color w:val="auto"/>
          <w:sz w:val="18"/>
          <w:szCs w:val="18"/>
        </w:rPr>
        <w:t>Stanila</w:t>
      </w:r>
      <w:proofErr w:type="spellEnd"/>
      <w:r w:rsidRPr="004E2148">
        <w:rPr>
          <w:rFonts w:asciiTheme="minorHAnsi" w:hAnsiTheme="minorHAnsi" w:cstheme="minorHAnsi"/>
          <w:color w:val="auto"/>
          <w:sz w:val="18"/>
          <w:szCs w:val="18"/>
        </w:rPr>
        <w:t>. G. (2018)</w:t>
      </w:r>
      <w:r w:rsidR="006D26FE">
        <w:rPr>
          <w:rFonts w:asciiTheme="minorHAnsi" w:hAnsiTheme="minorHAnsi" w:cstheme="minorHAnsi"/>
          <w:color w:val="auto"/>
          <w:sz w:val="18"/>
          <w:szCs w:val="18"/>
        </w:rPr>
        <w:t>.</w:t>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i/>
          <w:color w:val="auto"/>
          <w:sz w:val="18"/>
          <w:szCs w:val="18"/>
        </w:rPr>
        <w:t>Bunastarea</w:t>
      </w:r>
      <w:proofErr w:type="spellEnd"/>
      <w:r w:rsidRPr="004E2148">
        <w:rPr>
          <w:rFonts w:asciiTheme="minorHAnsi" w:hAnsiTheme="minorHAnsi" w:cstheme="minorHAnsi"/>
          <w:i/>
          <w:color w:val="auto"/>
          <w:sz w:val="18"/>
          <w:szCs w:val="18"/>
        </w:rPr>
        <w:t xml:space="preserve"> </w:t>
      </w:r>
      <w:proofErr w:type="spellStart"/>
      <w:r w:rsidRPr="004E2148">
        <w:rPr>
          <w:rFonts w:asciiTheme="minorHAnsi" w:hAnsiTheme="minorHAnsi" w:cstheme="minorHAnsi"/>
          <w:i/>
          <w:color w:val="auto"/>
          <w:sz w:val="18"/>
          <w:szCs w:val="18"/>
        </w:rPr>
        <w:t>copilului</w:t>
      </w:r>
      <w:proofErr w:type="spellEnd"/>
      <w:r w:rsidRPr="004E2148">
        <w:rPr>
          <w:rFonts w:asciiTheme="minorHAnsi" w:hAnsiTheme="minorHAnsi" w:cstheme="minorHAnsi"/>
          <w:i/>
          <w:color w:val="auto"/>
          <w:sz w:val="18"/>
          <w:szCs w:val="18"/>
        </w:rPr>
        <w:t xml:space="preserve"> din </w:t>
      </w:r>
      <w:proofErr w:type="spellStart"/>
      <w:r w:rsidRPr="004E2148">
        <w:rPr>
          <w:rFonts w:asciiTheme="minorHAnsi" w:hAnsiTheme="minorHAnsi" w:cstheme="minorHAnsi"/>
          <w:i/>
          <w:color w:val="auto"/>
          <w:sz w:val="18"/>
          <w:szCs w:val="18"/>
        </w:rPr>
        <w:t>mediul</w:t>
      </w:r>
      <w:proofErr w:type="spellEnd"/>
      <w:r w:rsidRPr="004E2148">
        <w:rPr>
          <w:rFonts w:asciiTheme="minorHAnsi" w:hAnsiTheme="minorHAnsi" w:cstheme="minorHAnsi"/>
          <w:i/>
          <w:color w:val="auto"/>
          <w:sz w:val="18"/>
          <w:szCs w:val="18"/>
        </w:rPr>
        <w:t xml:space="preserve"> rural 2018, </w:t>
      </w:r>
      <w:r w:rsidRPr="004E2148">
        <w:rPr>
          <w:rFonts w:asciiTheme="minorHAnsi" w:hAnsiTheme="minorHAnsi" w:cstheme="minorHAnsi"/>
          <w:color w:val="auto"/>
          <w:sz w:val="18"/>
          <w:szCs w:val="18"/>
        </w:rPr>
        <w:t>World Vision Romania.</w:t>
      </w:r>
    </w:p>
  </w:footnote>
  <w:footnote w:id="34">
    <w:p w14:paraId="51ADDBE6"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Petrescu, C., </w:t>
      </w:r>
      <w:proofErr w:type="spellStart"/>
      <w:r w:rsidRPr="004E2148">
        <w:rPr>
          <w:rFonts w:cstheme="minorHAnsi"/>
          <w:sz w:val="18"/>
          <w:szCs w:val="18"/>
        </w:rPr>
        <w:t>Negrut</w:t>
      </w:r>
      <w:proofErr w:type="spellEnd"/>
      <w:r w:rsidRPr="004E2148">
        <w:rPr>
          <w:rFonts w:cstheme="minorHAnsi"/>
          <w:sz w:val="18"/>
          <w:szCs w:val="18"/>
        </w:rPr>
        <w:t xml:space="preserve">, A., </w:t>
      </w:r>
      <w:proofErr w:type="spellStart"/>
      <w:r w:rsidRPr="004E2148">
        <w:rPr>
          <w:rFonts w:cstheme="minorHAnsi"/>
          <w:sz w:val="18"/>
          <w:szCs w:val="18"/>
        </w:rPr>
        <w:t>Stanila</w:t>
      </w:r>
      <w:proofErr w:type="spellEnd"/>
      <w:r w:rsidRPr="004E2148">
        <w:rPr>
          <w:rFonts w:cstheme="minorHAnsi"/>
          <w:sz w:val="18"/>
          <w:szCs w:val="18"/>
        </w:rPr>
        <w:t>. G. (2018)</w:t>
      </w:r>
      <w:r w:rsidR="006D26FE">
        <w:rPr>
          <w:rFonts w:cstheme="minorHAnsi"/>
          <w:sz w:val="18"/>
          <w:szCs w:val="18"/>
        </w:rPr>
        <w:t>.</w:t>
      </w:r>
      <w:r w:rsidRPr="004E2148">
        <w:rPr>
          <w:rFonts w:cstheme="minorHAnsi"/>
          <w:sz w:val="18"/>
          <w:szCs w:val="18"/>
        </w:rPr>
        <w:t>, p. 76.</w:t>
      </w:r>
    </w:p>
  </w:footnote>
  <w:footnote w:id="35">
    <w:p w14:paraId="15D9F8C0" w14:textId="77777777" w:rsidR="00D37FC3" w:rsidRPr="004E2148" w:rsidRDefault="00D37FC3" w:rsidP="004E2148">
      <w:pPr>
        <w:pStyle w:val="FootnoteText"/>
        <w:rPr>
          <w:rFonts w:cstheme="minorHAnsi"/>
          <w:sz w:val="18"/>
          <w:szCs w:val="18"/>
        </w:rPr>
      </w:pPr>
      <w:r w:rsidRPr="004E2148">
        <w:rPr>
          <w:rStyle w:val="FootnoteReference"/>
          <w:rFonts w:cstheme="minorHAnsi"/>
          <w:sz w:val="18"/>
          <w:szCs w:val="18"/>
        </w:rPr>
        <w:footnoteRef/>
      </w:r>
      <w:r w:rsidRPr="004E2148">
        <w:rPr>
          <w:rFonts w:cstheme="minorHAnsi"/>
          <w:sz w:val="18"/>
          <w:szCs w:val="18"/>
        </w:rPr>
        <w:t xml:space="preserve"> Petrescu, C., </w:t>
      </w:r>
      <w:proofErr w:type="spellStart"/>
      <w:r w:rsidRPr="004E2148">
        <w:rPr>
          <w:rFonts w:cstheme="minorHAnsi"/>
          <w:sz w:val="18"/>
          <w:szCs w:val="18"/>
        </w:rPr>
        <w:t>Negrut</w:t>
      </w:r>
      <w:proofErr w:type="spellEnd"/>
      <w:r w:rsidRPr="004E2148">
        <w:rPr>
          <w:rFonts w:cstheme="minorHAnsi"/>
          <w:sz w:val="18"/>
          <w:szCs w:val="18"/>
        </w:rPr>
        <w:t xml:space="preserve">, A., </w:t>
      </w:r>
      <w:proofErr w:type="spellStart"/>
      <w:r w:rsidRPr="004E2148">
        <w:rPr>
          <w:rFonts w:cstheme="minorHAnsi"/>
          <w:sz w:val="18"/>
          <w:szCs w:val="18"/>
        </w:rPr>
        <w:t>Stanila</w:t>
      </w:r>
      <w:proofErr w:type="spellEnd"/>
      <w:r w:rsidRPr="004E2148">
        <w:rPr>
          <w:rFonts w:cstheme="minorHAnsi"/>
          <w:sz w:val="18"/>
          <w:szCs w:val="18"/>
        </w:rPr>
        <w:t>. G. (2018)</w:t>
      </w:r>
      <w:r w:rsidR="006D26FE">
        <w:rPr>
          <w:rFonts w:cstheme="minorHAnsi"/>
          <w:sz w:val="18"/>
          <w:szCs w:val="18"/>
        </w:rPr>
        <w:t>.</w:t>
      </w:r>
      <w:r w:rsidRPr="004E2148">
        <w:rPr>
          <w:rFonts w:cstheme="minorHAnsi"/>
          <w:sz w:val="18"/>
          <w:szCs w:val="18"/>
        </w:rPr>
        <w:t>, p. 160.</w:t>
      </w:r>
    </w:p>
  </w:footnote>
  <w:footnote w:id="36">
    <w:p w14:paraId="66288A55" w14:textId="77777777" w:rsidR="00D37FC3" w:rsidRPr="004E2148" w:rsidRDefault="00D37FC3" w:rsidP="004E2148">
      <w:pPr>
        <w:spacing w:before="0" w:after="0"/>
        <w:jc w:val="both"/>
        <w:rPr>
          <w:rFonts w:asciiTheme="minorHAnsi" w:hAnsiTheme="minorHAnsi" w:cstheme="minorHAnsi"/>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Onu</w:t>
      </w:r>
      <w:proofErr w:type="spellEnd"/>
      <w:r w:rsidRPr="004E2148">
        <w:rPr>
          <w:rFonts w:asciiTheme="minorHAnsi" w:hAnsiTheme="minorHAnsi" w:cstheme="minorHAnsi"/>
          <w:color w:val="auto"/>
          <w:sz w:val="18"/>
          <w:szCs w:val="18"/>
        </w:rPr>
        <w:t xml:space="preserve">, D., Pop, I., </w:t>
      </w:r>
      <w:proofErr w:type="spellStart"/>
      <w:r w:rsidRPr="004E2148">
        <w:rPr>
          <w:rFonts w:asciiTheme="minorHAnsi" w:hAnsiTheme="minorHAnsi" w:cstheme="minorHAnsi"/>
          <w:color w:val="auto"/>
          <w:sz w:val="18"/>
          <w:szCs w:val="18"/>
        </w:rPr>
        <w:t>Chiriacescu</w:t>
      </w:r>
      <w:proofErr w:type="spellEnd"/>
      <w:r w:rsidRPr="004E2148">
        <w:rPr>
          <w:rFonts w:asciiTheme="minorHAnsi" w:hAnsiTheme="minorHAnsi" w:cstheme="minorHAnsi"/>
          <w:color w:val="auto"/>
          <w:sz w:val="18"/>
          <w:szCs w:val="18"/>
        </w:rPr>
        <w:t xml:space="preserve">, D., </w:t>
      </w:r>
      <w:proofErr w:type="spellStart"/>
      <w:r w:rsidRPr="004E2148">
        <w:rPr>
          <w:rFonts w:asciiTheme="minorHAnsi" w:hAnsiTheme="minorHAnsi" w:cstheme="minorHAnsi"/>
          <w:color w:val="auto"/>
          <w:sz w:val="18"/>
          <w:szCs w:val="18"/>
        </w:rPr>
        <w:t>Preda</w:t>
      </w:r>
      <w:proofErr w:type="spellEnd"/>
      <w:r w:rsidRPr="004E2148">
        <w:rPr>
          <w:rFonts w:asciiTheme="minorHAnsi" w:hAnsiTheme="minorHAnsi" w:cstheme="minorHAnsi"/>
          <w:color w:val="auto"/>
          <w:sz w:val="18"/>
          <w:szCs w:val="18"/>
        </w:rPr>
        <w:t>, F., Roman, G. (2019)</w:t>
      </w:r>
      <w:r w:rsidR="006D26FE">
        <w:rPr>
          <w:rFonts w:asciiTheme="minorHAnsi" w:hAnsiTheme="minorHAnsi" w:cstheme="minorHAnsi"/>
          <w:color w:val="auto"/>
          <w:sz w:val="18"/>
          <w:szCs w:val="18"/>
        </w:rPr>
        <w:t>.</w:t>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i/>
          <w:color w:val="auto"/>
          <w:sz w:val="18"/>
          <w:szCs w:val="18"/>
        </w:rPr>
        <w:t>Raport</w:t>
      </w:r>
      <w:proofErr w:type="spellEnd"/>
      <w:r w:rsidRPr="004E2148">
        <w:rPr>
          <w:rFonts w:asciiTheme="minorHAnsi" w:hAnsiTheme="minorHAnsi" w:cstheme="minorHAnsi"/>
          <w:i/>
          <w:color w:val="auto"/>
          <w:sz w:val="18"/>
          <w:szCs w:val="18"/>
        </w:rPr>
        <w:t xml:space="preserve"> </w:t>
      </w:r>
      <w:proofErr w:type="spellStart"/>
      <w:r w:rsidRPr="004E2148">
        <w:rPr>
          <w:rFonts w:asciiTheme="minorHAnsi" w:hAnsiTheme="minorHAnsi" w:cstheme="minorHAnsi"/>
          <w:i/>
          <w:color w:val="auto"/>
          <w:sz w:val="18"/>
          <w:szCs w:val="18"/>
        </w:rPr>
        <w:t>privind</w:t>
      </w:r>
      <w:proofErr w:type="spellEnd"/>
      <w:r w:rsidRPr="004E2148">
        <w:rPr>
          <w:rFonts w:asciiTheme="minorHAnsi" w:hAnsiTheme="minorHAnsi" w:cstheme="minorHAnsi"/>
          <w:i/>
          <w:color w:val="auto"/>
          <w:sz w:val="18"/>
          <w:szCs w:val="18"/>
        </w:rPr>
        <w:t xml:space="preserve"> </w:t>
      </w:r>
      <w:proofErr w:type="spellStart"/>
      <w:r w:rsidRPr="004E2148">
        <w:rPr>
          <w:rFonts w:asciiTheme="minorHAnsi" w:hAnsiTheme="minorHAnsi" w:cstheme="minorHAnsi"/>
          <w:i/>
          <w:color w:val="auto"/>
          <w:sz w:val="18"/>
          <w:szCs w:val="18"/>
        </w:rPr>
        <w:t>respectarea</w:t>
      </w:r>
      <w:proofErr w:type="spellEnd"/>
      <w:r w:rsidRPr="004E2148">
        <w:rPr>
          <w:rFonts w:asciiTheme="minorHAnsi" w:hAnsiTheme="minorHAnsi" w:cstheme="minorHAnsi"/>
          <w:i/>
          <w:color w:val="auto"/>
          <w:sz w:val="18"/>
          <w:szCs w:val="18"/>
        </w:rPr>
        <w:t xml:space="preserve"> </w:t>
      </w:r>
      <w:proofErr w:type="spellStart"/>
      <w:r w:rsidRPr="004E2148">
        <w:rPr>
          <w:rFonts w:asciiTheme="minorHAnsi" w:hAnsiTheme="minorHAnsi" w:cstheme="minorHAnsi"/>
          <w:i/>
          <w:color w:val="auto"/>
          <w:sz w:val="18"/>
          <w:szCs w:val="18"/>
        </w:rPr>
        <w:t>drepturilor</w:t>
      </w:r>
      <w:proofErr w:type="spellEnd"/>
      <w:r w:rsidRPr="004E2148">
        <w:rPr>
          <w:rFonts w:asciiTheme="minorHAnsi" w:hAnsiTheme="minorHAnsi" w:cstheme="minorHAnsi"/>
          <w:i/>
          <w:color w:val="auto"/>
          <w:sz w:val="18"/>
          <w:szCs w:val="18"/>
        </w:rPr>
        <w:t xml:space="preserve"> </w:t>
      </w:r>
      <w:proofErr w:type="spellStart"/>
      <w:r w:rsidRPr="004E2148">
        <w:rPr>
          <w:rFonts w:asciiTheme="minorHAnsi" w:hAnsiTheme="minorHAnsi" w:cstheme="minorHAnsi"/>
          <w:i/>
          <w:color w:val="auto"/>
          <w:sz w:val="18"/>
          <w:szCs w:val="18"/>
        </w:rPr>
        <w:t>copilului</w:t>
      </w:r>
      <w:proofErr w:type="spellEnd"/>
      <w:r w:rsidRPr="004E2148">
        <w:rPr>
          <w:rFonts w:asciiTheme="minorHAnsi" w:hAnsiTheme="minorHAnsi" w:cstheme="minorHAnsi"/>
          <w:i/>
          <w:color w:val="auto"/>
          <w:sz w:val="18"/>
          <w:szCs w:val="18"/>
        </w:rPr>
        <w:t xml:space="preserve"> in Romania</w:t>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Avocatul</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Poporului</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Salvati</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Copiii</w:t>
      </w:r>
      <w:proofErr w:type="spellEnd"/>
      <w:r w:rsidRPr="004E2148">
        <w:rPr>
          <w:rFonts w:asciiTheme="minorHAnsi" w:hAnsiTheme="minorHAnsi" w:cstheme="minorHAnsi"/>
          <w:color w:val="auto"/>
          <w:sz w:val="18"/>
          <w:szCs w:val="18"/>
        </w:rPr>
        <w:t xml:space="preserve"> Romania.</w:t>
      </w:r>
    </w:p>
  </w:footnote>
  <w:footnote w:id="37">
    <w:p w14:paraId="3C4FBBA4" w14:textId="77777777" w:rsidR="00D37FC3" w:rsidRPr="004E2148" w:rsidRDefault="00D37FC3" w:rsidP="004E2148">
      <w:pPr>
        <w:spacing w:before="0" w:after="0"/>
        <w:jc w:val="both"/>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Salvati</w:t>
      </w:r>
      <w:proofErr w:type="spellEnd"/>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Copiii</w:t>
      </w:r>
      <w:proofErr w:type="spellEnd"/>
      <w:r w:rsidRPr="004E2148">
        <w:rPr>
          <w:rFonts w:asciiTheme="minorHAnsi" w:hAnsiTheme="minorHAnsi" w:cstheme="minorHAnsi"/>
          <w:color w:val="auto"/>
          <w:sz w:val="18"/>
          <w:szCs w:val="18"/>
        </w:rPr>
        <w:t xml:space="preserve"> (2018). </w:t>
      </w:r>
      <w:proofErr w:type="spellStart"/>
      <w:r w:rsidRPr="004E2148">
        <w:rPr>
          <w:rFonts w:asciiTheme="minorHAnsi" w:hAnsiTheme="minorHAnsi" w:cstheme="minorHAnsi"/>
          <w:i/>
          <w:color w:val="auto"/>
          <w:sz w:val="18"/>
          <w:szCs w:val="18"/>
        </w:rPr>
        <w:t>Costurile</w:t>
      </w:r>
      <w:proofErr w:type="spellEnd"/>
      <w:r w:rsidRPr="004E2148">
        <w:rPr>
          <w:rFonts w:asciiTheme="minorHAnsi" w:hAnsiTheme="minorHAnsi" w:cstheme="minorHAnsi"/>
          <w:i/>
          <w:color w:val="auto"/>
          <w:sz w:val="18"/>
          <w:szCs w:val="18"/>
        </w:rPr>
        <w:t xml:space="preserve"> </w:t>
      </w:r>
      <w:proofErr w:type="spellStart"/>
      <w:r w:rsidRPr="004E2148">
        <w:rPr>
          <w:rFonts w:asciiTheme="minorHAnsi" w:hAnsiTheme="minorHAnsi" w:cstheme="minorHAnsi"/>
          <w:i/>
          <w:color w:val="auto"/>
          <w:sz w:val="18"/>
          <w:szCs w:val="18"/>
        </w:rPr>
        <w:t>educatiei</w:t>
      </w:r>
      <w:proofErr w:type="spellEnd"/>
      <w:r w:rsidRPr="004E2148">
        <w:rPr>
          <w:rFonts w:asciiTheme="minorHAnsi" w:hAnsiTheme="minorHAnsi" w:cstheme="minorHAnsi"/>
          <w:i/>
          <w:color w:val="auto"/>
          <w:sz w:val="18"/>
          <w:szCs w:val="18"/>
        </w:rPr>
        <w:t xml:space="preserve"> </w:t>
      </w:r>
      <w:proofErr w:type="spellStart"/>
      <w:r w:rsidRPr="004E2148">
        <w:rPr>
          <w:rFonts w:asciiTheme="minorHAnsi" w:hAnsiTheme="minorHAnsi" w:cstheme="minorHAnsi"/>
          <w:i/>
          <w:color w:val="auto"/>
          <w:sz w:val="18"/>
          <w:szCs w:val="18"/>
        </w:rPr>
        <w:t>gratuite</w:t>
      </w:r>
      <w:proofErr w:type="spellEnd"/>
      <w:r w:rsidRPr="004E2148">
        <w:rPr>
          <w:rFonts w:asciiTheme="minorHAnsi" w:hAnsiTheme="minorHAnsi" w:cstheme="minorHAnsi"/>
          <w:i/>
          <w:color w:val="auto"/>
          <w:sz w:val="18"/>
          <w:szCs w:val="18"/>
        </w:rPr>
        <w:t xml:space="preserve">. De </w:t>
      </w:r>
      <w:proofErr w:type="spellStart"/>
      <w:r w:rsidRPr="004E2148">
        <w:rPr>
          <w:rFonts w:asciiTheme="minorHAnsi" w:hAnsiTheme="minorHAnsi" w:cstheme="minorHAnsi"/>
          <w:i/>
          <w:color w:val="auto"/>
          <w:sz w:val="18"/>
          <w:szCs w:val="18"/>
        </w:rPr>
        <w:t>ce</w:t>
      </w:r>
      <w:proofErr w:type="spellEnd"/>
      <w:r w:rsidRPr="004E2148">
        <w:rPr>
          <w:rFonts w:asciiTheme="minorHAnsi" w:hAnsiTheme="minorHAnsi" w:cstheme="minorHAnsi"/>
          <w:i/>
          <w:color w:val="auto"/>
          <w:sz w:val="18"/>
          <w:szCs w:val="18"/>
        </w:rPr>
        <w:t xml:space="preserve"> </w:t>
      </w:r>
      <w:proofErr w:type="spellStart"/>
      <w:r w:rsidRPr="004E2148">
        <w:rPr>
          <w:rFonts w:asciiTheme="minorHAnsi" w:hAnsiTheme="minorHAnsi" w:cstheme="minorHAnsi"/>
          <w:i/>
          <w:color w:val="auto"/>
          <w:sz w:val="18"/>
          <w:szCs w:val="18"/>
        </w:rPr>
        <w:t>invatamantul</w:t>
      </w:r>
      <w:proofErr w:type="spellEnd"/>
      <w:r w:rsidRPr="004E2148">
        <w:rPr>
          <w:rFonts w:asciiTheme="minorHAnsi" w:hAnsiTheme="minorHAnsi" w:cstheme="minorHAnsi"/>
          <w:i/>
          <w:color w:val="auto"/>
          <w:sz w:val="18"/>
          <w:szCs w:val="18"/>
        </w:rPr>
        <w:t xml:space="preserve"> </w:t>
      </w:r>
      <w:proofErr w:type="spellStart"/>
      <w:r w:rsidRPr="004E2148">
        <w:rPr>
          <w:rFonts w:asciiTheme="minorHAnsi" w:hAnsiTheme="minorHAnsi" w:cstheme="minorHAnsi"/>
          <w:i/>
          <w:color w:val="auto"/>
          <w:sz w:val="18"/>
          <w:szCs w:val="18"/>
        </w:rPr>
        <w:t>gratuit</w:t>
      </w:r>
      <w:proofErr w:type="spellEnd"/>
      <w:r w:rsidRPr="004E2148">
        <w:rPr>
          <w:rFonts w:asciiTheme="minorHAnsi" w:hAnsiTheme="minorHAnsi" w:cstheme="minorHAnsi"/>
          <w:i/>
          <w:color w:val="auto"/>
          <w:sz w:val="18"/>
          <w:szCs w:val="18"/>
        </w:rPr>
        <w:t xml:space="preserve"> costa?</w:t>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Bucuresti</w:t>
      </w:r>
      <w:proofErr w:type="spellEnd"/>
    </w:p>
  </w:footnote>
  <w:footnote w:id="38">
    <w:p w14:paraId="59DE5778" w14:textId="77777777" w:rsidR="00D37FC3" w:rsidRPr="004E2148" w:rsidRDefault="00D37FC3" w:rsidP="004E2148">
      <w:pPr>
        <w:spacing w:before="0" w:after="0"/>
        <w:jc w:val="both"/>
        <w:rPr>
          <w:rFonts w:asciiTheme="minorHAnsi" w:hAnsiTheme="minorHAnsi" w:cstheme="minorHAnsi"/>
          <w:color w:val="auto"/>
          <w:sz w:val="18"/>
          <w:szCs w:val="18"/>
        </w:rPr>
      </w:pPr>
      <w:r w:rsidRPr="004E2148">
        <w:rPr>
          <w:rStyle w:val="FootnoteReference"/>
          <w:rFonts w:asciiTheme="minorHAnsi" w:hAnsiTheme="minorHAnsi" w:cstheme="minorHAnsi"/>
          <w:color w:val="auto"/>
          <w:sz w:val="18"/>
          <w:szCs w:val="18"/>
        </w:rPr>
        <w:footnoteRef/>
      </w:r>
      <w:r w:rsidRPr="004E2148">
        <w:rPr>
          <w:rFonts w:asciiTheme="minorHAnsi" w:hAnsiTheme="minorHAnsi" w:cstheme="minorHAnsi"/>
          <w:color w:val="auto"/>
          <w:sz w:val="18"/>
          <w:szCs w:val="18"/>
        </w:rPr>
        <w:t xml:space="preserve"> </w:t>
      </w:r>
      <w:proofErr w:type="spellStart"/>
      <w:r w:rsidRPr="004E2148">
        <w:rPr>
          <w:rFonts w:asciiTheme="minorHAnsi" w:hAnsiTheme="minorHAnsi" w:cstheme="minorHAnsi"/>
          <w:color w:val="auto"/>
          <w:sz w:val="18"/>
          <w:szCs w:val="18"/>
        </w:rPr>
        <w:t>Gradinaru</w:t>
      </w:r>
      <w:proofErr w:type="spellEnd"/>
      <w:r w:rsidRPr="004E2148">
        <w:rPr>
          <w:rFonts w:asciiTheme="minorHAnsi" w:hAnsiTheme="minorHAnsi" w:cstheme="minorHAnsi"/>
          <w:color w:val="auto"/>
          <w:sz w:val="18"/>
          <w:szCs w:val="18"/>
        </w:rPr>
        <w:t xml:space="preserve">, C. &amp; </w:t>
      </w:r>
      <w:proofErr w:type="spellStart"/>
      <w:r w:rsidRPr="004E2148">
        <w:rPr>
          <w:rFonts w:asciiTheme="minorHAnsi" w:hAnsiTheme="minorHAnsi" w:cstheme="minorHAnsi"/>
          <w:color w:val="auto"/>
          <w:sz w:val="18"/>
          <w:szCs w:val="18"/>
        </w:rPr>
        <w:t>Stoica</w:t>
      </w:r>
      <w:proofErr w:type="spellEnd"/>
      <w:r w:rsidRPr="004E2148">
        <w:rPr>
          <w:rFonts w:asciiTheme="minorHAnsi" w:hAnsiTheme="minorHAnsi" w:cstheme="minorHAnsi"/>
          <w:color w:val="auto"/>
          <w:sz w:val="18"/>
          <w:szCs w:val="18"/>
        </w:rPr>
        <w:t xml:space="preserve">, T. (2018). </w:t>
      </w:r>
      <w:proofErr w:type="spellStart"/>
      <w:r w:rsidRPr="004E2148">
        <w:rPr>
          <w:rFonts w:asciiTheme="minorHAnsi" w:hAnsiTheme="minorHAnsi" w:cstheme="minorHAnsi"/>
          <w:i/>
          <w:color w:val="auto"/>
          <w:sz w:val="18"/>
          <w:szCs w:val="18"/>
        </w:rPr>
        <w:t>Studiu</w:t>
      </w:r>
      <w:proofErr w:type="spellEnd"/>
      <w:r w:rsidRPr="004E2148">
        <w:rPr>
          <w:rFonts w:asciiTheme="minorHAnsi" w:hAnsiTheme="minorHAnsi" w:cstheme="minorHAnsi"/>
          <w:i/>
          <w:color w:val="auto"/>
          <w:sz w:val="18"/>
          <w:szCs w:val="18"/>
        </w:rPr>
        <w:t xml:space="preserve"> privind utilizarea internetului de catre copii</w:t>
      </w:r>
      <w:r w:rsidRPr="004E2148">
        <w:rPr>
          <w:rFonts w:asciiTheme="minorHAnsi" w:hAnsiTheme="minorHAnsi" w:cstheme="minorHAnsi"/>
          <w:color w:val="auto"/>
          <w:sz w:val="18"/>
          <w:szCs w:val="18"/>
        </w:rPr>
        <w:t>, Salvati copiii/Save the Children Romania.</w:t>
      </w:r>
    </w:p>
    <w:p w14:paraId="41CE8F14" w14:textId="77777777" w:rsidR="00D37FC3" w:rsidRPr="004E2148" w:rsidRDefault="00D37FC3" w:rsidP="004E2148">
      <w:pPr>
        <w:pStyle w:val="FootnoteText"/>
        <w:rPr>
          <w:rFonts w:cs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3B833F"/>
    <w:multiLevelType w:val="singleLevel"/>
    <w:tmpl w:val="A23B833F"/>
    <w:lvl w:ilvl="0">
      <w:start w:val="1"/>
      <w:numFmt w:val="bullet"/>
      <w:lvlText w:val=""/>
      <w:lvlJc w:val="left"/>
      <w:pPr>
        <w:tabs>
          <w:tab w:val="left" w:pos="420"/>
        </w:tabs>
        <w:ind w:left="420" w:hanging="420"/>
      </w:pPr>
      <w:rPr>
        <w:rFonts w:ascii="Wingdings" w:hAnsi="Wingdings" w:hint="default"/>
        <w:color w:val="42B890"/>
      </w:rPr>
    </w:lvl>
  </w:abstractNum>
  <w:abstractNum w:abstractNumId="1" w15:restartNumberingAfterBreak="0">
    <w:nsid w:val="E5EA8083"/>
    <w:multiLevelType w:val="singleLevel"/>
    <w:tmpl w:val="E5EA8083"/>
    <w:lvl w:ilvl="0">
      <w:start w:val="1"/>
      <w:numFmt w:val="bullet"/>
      <w:lvlText w:val=""/>
      <w:lvlJc w:val="left"/>
      <w:pPr>
        <w:tabs>
          <w:tab w:val="left" w:pos="420"/>
        </w:tabs>
        <w:ind w:left="420" w:hanging="420"/>
      </w:pPr>
      <w:rPr>
        <w:rFonts w:ascii="Wingdings" w:hAnsi="Wingdings" w:hint="default"/>
        <w:color w:val="42B890"/>
      </w:rPr>
    </w:lvl>
  </w:abstractNum>
  <w:abstractNum w:abstractNumId="2" w15:restartNumberingAfterBreak="0">
    <w:nsid w:val="2EA51A82"/>
    <w:multiLevelType w:val="hybridMultilevel"/>
    <w:tmpl w:val="B4A465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2FEF3346"/>
    <w:multiLevelType w:val="hybridMultilevel"/>
    <w:tmpl w:val="A51A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A171C"/>
    <w:multiLevelType w:val="hybridMultilevel"/>
    <w:tmpl w:val="6348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B2532"/>
    <w:multiLevelType w:val="hybridMultilevel"/>
    <w:tmpl w:val="4CF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C7C5E"/>
    <w:multiLevelType w:val="hybridMultilevel"/>
    <w:tmpl w:val="F17EED9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737175D"/>
    <w:multiLevelType w:val="hybridMultilevel"/>
    <w:tmpl w:val="13BE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A033A"/>
    <w:multiLevelType w:val="hybridMultilevel"/>
    <w:tmpl w:val="E2A4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137D1"/>
    <w:multiLevelType w:val="hybridMultilevel"/>
    <w:tmpl w:val="484AC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E2148"/>
    <w:multiLevelType w:val="hybridMultilevel"/>
    <w:tmpl w:val="1D9E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484852"/>
    <w:rsid w:val="00000B27"/>
    <w:rsid w:val="000378C6"/>
    <w:rsid w:val="00046212"/>
    <w:rsid w:val="00050A31"/>
    <w:rsid w:val="000716D2"/>
    <w:rsid w:val="00071AAB"/>
    <w:rsid w:val="000B03F2"/>
    <w:rsid w:val="000B625B"/>
    <w:rsid w:val="000B76C4"/>
    <w:rsid w:val="000C5610"/>
    <w:rsid w:val="000D4DBF"/>
    <w:rsid w:val="000D5043"/>
    <w:rsid w:val="000E6552"/>
    <w:rsid w:val="000F3A4F"/>
    <w:rsid w:val="000F59AC"/>
    <w:rsid w:val="001364FE"/>
    <w:rsid w:val="001368DD"/>
    <w:rsid w:val="00145A9D"/>
    <w:rsid w:val="00147DB3"/>
    <w:rsid w:val="00147F59"/>
    <w:rsid w:val="001518A5"/>
    <w:rsid w:val="00170095"/>
    <w:rsid w:val="00170E4F"/>
    <w:rsid w:val="00172A27"/>
    <w:rsid w:val="001743F4"/>
    <w:rsid w:val="00187C33"/>
    <w:rsid w:val="001936B7"/>
    <w:rsid w:val="00196AB1"/>
    <w:rsid w:val="001D072D"/>
    <w:rsid w:val="001D7FA3"/>
    <w:rsid w:val="00201333"/>
    <w:rsid w:val="0021099B"/>
    <w:rsid w:val="00210FA7"/>
    <w:rsid w:val="00216417"/>
    <w:rsid w:val="002328BF"/>
    <w:rsid w:val="00260541"/>
    <w:rsid w:val="0026631D"/>
    <w:rsid w:val="002C2F53"/>
    <w:rsid w:val="002F075C"/>
    <w:rsid w:val="0033518C"/>
    <w:rsid w:val="003437C2"/>
    <w:rsid w:val="00367057"/>
    <w:rsid w:val="00377186"/>
    <w:rsid w:val="003A0A6B"/>
    <w:rsid w:val="003A1C03"/>
    <w:rsid w:val="003A63FC"/>
    <w:rsid w:val="003F4356"/>
    <w:rsid w:val="004024A2"/>
    <w:rsid w:val="00402AE8"/>
    <w:rsid w:val="00414627"/>
    <w:rsid w:val="00425D63"/>
    <w:rsid w:val="004643D8"/>
    <w:rsid w:val="00494519"/>
    <w:rsid w:val="00497C24"/>
    <w:rsid w:val="004C14E7"/>
    <w:rsid w:val="004C7BA5"/>
    <w:rsid w:val="004E2148"/>
    <w:rsid w:val="004E7628"/>
    <w:rsid w:val="004F48F2"/>
    <w:rsid w:val="00511383"/>
    <w:rsid w:val="005149B1"/>
    <w:rsid w:val="005647F2"/>
    <w:rsid w:val="005662D1"/>
    <w:rsid w:val="00573A09"/>
    <w:rsid w:val="005A4526"/>
    <w:rsid w:val="005C1B16"/>
    <w:rsid w:val="005D54C5"/>
    <w:rsid w:val="005E53D0"/>
    <w:rsid w:val="006002EB"/>
    <w:rsid w:val="006128EF"/>
    <w:rsid w:val="006264B4"/>
    <w:rsid w:val="00643033"/>
    <w:rsid w:val="00644CC3"/>
    <w:rsid w:val="006612E1"/>
    <w:rsid w:val="00661468"/>
    <w:rsid w:val="006649F0"/>
    <w:rsid w:val="006718D5"/>
    <w:rsid w:val="0067245D"/>
    <w:rsid w:val="0068470E"/>
    <w:rsid w:val="00695DCD"/>
    <w:rsid w:val="006A05CC"/>
    <w:rsid w:val="006A35A7"/>
    <w:rsid w:val="006C1C3F"/>
    <w:rsid w:val="006D26FE"/>
    <w:rsid w:val="006D53A2"/>
    <w:rsid w:val="006D7895"/>
    <w:rsid w:val="00712EC0"/>
    <w:rsid w:val="007152D7"/>
    <w:rsid w:val="00746C14"/>
    <w:rsid w:val="00785748"/>
    <w:rsid w:val="007C2C59"/>
    <w:rsid w:val="00801F23"/>
    <w:rsid w:val="00817E33"/>
    <w:rsid w:val="00837632"/>
    <w:rsid w:val="00843C53"/>
    <w:rsid w:val="0085640F"/>
    <w:rsid w:val="008567AA"/>
    <w:rsid w:val="00892712"/>
    <w:rsid w:val="008A680A"/>
    <w:rsid w:val="008B0BB0"/>
    <w:rsid w:val="008E6C4B"/>
    <w:rsid w:val="008F18C0"/>
    <w:rsid w:val="00907648"/>
    <w:rsid w:val="00930FDE"/>
    <w:rsid w:val="009558DB"/>
    <w:rsid w:val="00975343"/>
    <w:rsid w:val="00984C93"/>
    <w:rsid w:val="00987CE1"/>
    <w:rsid w:val="0099405C"/>
    <w:rsid w:val="009C600F"/>
    <w:rsid w:val="009D3723"/>
    <w:rsid w:val="009E04F2"/>
    <w:rsid w:val="009E4255"/>
    <w:rsid w:val="009E4EF3"/>
    <w:rsid w:val="00A01BDA"/>
    <w:rsid w:val="00A03B7B"/>
    <w:rsid w:val="00A06AA3"/>
    <w:rsid w:val="00A200C9"/>
    <w:rsid w:val="00A250D5"/>
    <w:rsid w:val="00A32F56"/>
    <w:rsid w:val="00A36028"/>
    <w:rsid w:val="00A840F1"/>
    <w:rsid w:val="00A91424"/>
    <w:rsid w:val="00AA2C77"/>
    <w:rsid w:val="00AC168D"/>
    <w:rsid w:val="00AC3FB9"/>
    <w:rsid w:val="00AC702A"/>
    <w:rsid w:val="00AD226F"/>
    <w:rsid w:val="00B13A52"/>
    <w:rsid w:val="00B24CF4"/>
    <w:rsid w:val="00B26993"/>
    <w:rsid w:val="00B27365"/>
    <w:rsid w:val="00B4570C"/>
    <w:rsid w:val="00B5208C"/>
    <w:rsid w:val="00B74876"/>
    <w:rsid w:val="00BA044E"/>
    <w:rsid w:val="00BB7C2B"/>
    <w:rsid w:val="00BC1664"/>
    <w:rsid w:val="00BC2546"/>
    <w:rsid w:val="00C05085"/>
    <w:rsid w:val="00C1593D"/>
    <w:rsid w:val="00C50886"/>
    <w:rsid w:val="00C56C7E"/>
    <w:rsid w:val="00C73484"/>
    <w:rsid w:val="00C776A4"/>
    <w:rsid w:val="00CA2C6C"/>
    <w:rsid w:val="00CA4974"/>
    <w:rsid w:val="00CC0600"/>
    <w:rsid w:val="00CC78AC"/>
    <w:rsid w:val="00CF7953"/>
    <w:rsid w:val="00D07232"/>
    <w:rsid w:val="00D10245"/>
    <w:rsid w:val="00D21BDD"/>
    <w:rsid w:val="00D37FC3"/>
    <w:rsid w:val="00D65F07"/>
    <w:rsid w:val="00D92BB7"/>
    <w:rsid w:val="00DA3F4E"/>
    <w:rsid w:val="00DC76D2"/>
    <w:rsid w:val="00DD30ED"/>
    <w:rsid w:val="00E64064"/>
    <w:rsid w:val="00E64C21"/>
    <w:rsid w:val="00E67787"/>
    <w:rsid w:val="00E8309A"/>
    <w:rsid w:val="00EA49F2"/>
    <w:rsid w:val="00EC24C6"/>
    <w:rsid w:val="00EF2933"/>
    <w:rsid w:val="00F05146"/>
    <w:rsid w:val="00F0523B"/>
    <w:rsid w:val="00F1115D"/>
    <w:rsid w:val="00F3513C"/>
    <w:rsid w:val="00F465C5"/>
    <w:rsid w:val="00F5180D"/>
    <w:rsid w:val="00F51B21"/>
    <w:rsid w:val="00F51D87"/>
    <w:rsid w:val="00F8455C"/>
    <w:rsid w:val="00FB11C7"/>
    <w:rsid w:val="04667082"/>
    <w:rsid w:val="0CBC00A7"/>
    <w:rsid w:val="1A634586"/>
    <w:rsid w:val="1C526E10"/>
    <w:rsid w:val="1CC90C29"/>
    <w:rsid w:val="22981D77"/>
    <w:rsid w:val="40484852"/>
    <w:rsid w:val="41386B12"/>
    <w:rsid w:val="67503E76"/>
    <w:rsid w:val="67A36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83242"/>
  <w15:docId w15:val="{D74F103E-668D-4C11-9EC3-BDAB09B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uiPriority="99" w:qFormat="1"/>
    <w:lsdException w:name="caption" w:semiHidden="1" w:unhideWhenUsed="1" w:qFormat="1"/>
    <w:lsdException w:name="footnote reference" w:uiPriority="99"/>
    <w:lsdException w:name="Title" w:qFormat="1"/>
    <w:lsdException w:name="Default Paragraph Font"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after="240" w:line="240" w:lineRule="auto"/>
    </w:pPr>
    <w:rPr>
      <w:rFonts w:ascii="Calibri" w:eastAsiaTheme="minorEastAsia" w:hAnsi="Calibri" w:cs="Arial"/>
      <w:color w:val="585B5C"/>
      <w:lang w:eastAsia="zh-CN"/>
    </w:rPr>
  </w:style>
  <w:style w:type="paragraph" w:styleId="Heading1">
    <w:name w:val="heading 1"/>
    <w:basedOn w:val="Normal"/>
    <w:next w:val="Normal"/>
    <w:qFormat/>
    <w:pPr>
      <w:keepNext/>
      <w:keepLines/>
      <w:spacing w:before="340" w:after="330" w:line="578" w:lineRule="auto"/>
      <w:outlineLvl w:val="0"/>
    </w:pPr>
    <w:rPr>
      <w:rFonts w:ascii="Antonio" w:hAnsi="Antonio"/>
      <w:b/>
      <w:bCs/>
      <w:color w:val="42B890"/>
      <w:kern w:val="44"/>
      <w:sz w:val="44"/>
      <w:szCs w:val="44"/>
    </w:rPr>
  </w:style>
  <w:style w:type="paragraph" w:styleId="Heading2">
    <w:name w:val="heading 2"/>
    <w:basedOn w:val="Normal"/>
    <w:next w:val="Normal"/>
    <w:unhideWhenUsed/>
    <w:qFormat/>
    <w:pPr>
      <w:keepNext/>
      <w:keepLines/>
      <w:spacing w:before="260" w:after="260" w:line="416" w:lineRule="auto"/>
      <w:outlineLvl w:val="1"/>
    </w:pPr>
    <w:rPr>
      <w:rFonts w:ascii="Antonio" w:hAnsi="Antonio"/>
      <w:b/>
      <w:bCs/>
      <w:color w:val="37549D"/>
      <w:sz w:val="36"/>
      <w:szCs w:val="32"/>
    </w:rPr>
  </w:style>
  <w:style w:type="paragraph" w:styleId="Heading3">
    <w:name w:val="heading 3"/>
    <w:basedOn w:val="Normal"/>
    <w:next w:val="Normal"/>
    <w:unhideWhenUsed/>
    <w:qFormat/>
    <w:pPr>
      <w:keepNext/>
      <w:keepLines/>
      <w:spacing w:before="260" w:after="260"/>
      <w:outlineLvl w:val="2"/>
    </w:pPr>
    <w:rPr>
      <w:rFonts w:ascii="Antonio" w:hAnsi="Antonio"/>
      <w:b/>
      <w:bCs/>
      <w:color w:val="37549D"/>
      <w:sz w:val="32"/>
      <w:szCs w:val="32"/>
    </w:rPr>
  </w:style>
  <w:style w:type="paragraph" w:styleId="Heading4">
    <w:name w:val="heading 4"/>
    <w:basedOn w:val="Normal"/>
    <w:next w:val="Normal"/>
    <w:unhideWhenUsed/>
    <w:qFormat/>
    <w:pPr>
      <w:keepNext/>
      <w:keepLines/>
      <w:spacing w:before="280" w:after="290" w:line="376" w:lineRule="auto"/>
      <w:outlineLvl w:val="3"/>
    </w:pPr>
    <w:rPr>
      <w:rFonts w:ascii="Antonio" w:hAnsi="Antonio"/>
      <w:bCs/>
      <w:color w:val="37549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3"/>
      <w:szCs w:val="13"/>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uiPriority w:val="99"/>
    <w:qFormat/>
    <w:rPr>
      <w:color w:val="0000FF"/>
      <w:u w:val="single"/>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Pr>
      <w:rFonts w:ascii="Arial" w:eastAsiaTheme="minorEastAsia" w:hAnsi="Arial" w:cs="Arial"/>
      <w:color w:val="585B5C"/>
      <w:sz w:val="13"/>
      <w:szCs w:val="13"/>
      <w:lang w:eastAsia="zh-CN"/>
    </w:rPr>
  </w:style>
  <w:style w:type="table" w:customStyle="1" w:styleId="GridTable4-Accent11">
    <w:name w:val="Grid Table 4 - Accent 11"/>
    <w:basedOn w:val="TableNormal"/>
    <w:uiPriority w:val="49"/>
    <w:qFormat/>
    <w:pPr>
      <w:spacing w:after="0" w:line="240" w:lineRule="auto"/>
    </w:pPr>
    <w:rPr>
      <w:rFonts w:asciiTheme="minorHAnsi" w:eastAsiaTheme="minorHAnsi" w:hAnsiTheme="minorHAnsi" w:cstheme="minorBidi"/>
      <w:sz w:val="24"/>
      <w:szCs w:val="24"/>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uiPriority w:val="39"/>
    <w:qFormat/>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Char">
    <w:name w:val="Underline Char"/>
    <w:link w:val="LEAP-Underline"/>
    <w:qFormat/>
    <w:rPr>
      <w:rFonts w:ascii="Calibri" w:hAnsi="Calibri"/>
      <w:b/>
      <w:color w:val="37549D"/>
      <w:u w:val="thick" w:color="42B590"/>
    </w:rPr>
  </w:style>
  <w:style w:type="paragraph" w:customStyle="1" w:styleId="LEAP-Underline">
    <w:name w:val="LEAP - Underline"/>
    <w:basedOn w:val="Normal"/>
    <w:link w:val="UnderlineChar"/>
    <w:qFormat/>
    <w:rPr>
      <w:b/>
      <w:color w:val="37549D"/>
      <w:u w:val="thick" w:color="42B590"/>
    </w:rPr>
  </w:style>
  <w:style w:type="paragraph" w:customStyle="1" w:styleId="LEAP-Heading1">
    <w:name w:val="LEAP - Heading 1"/>
    <w:basedOn w:val="Heading1"/>
    <w:next w:val="Normal"/>
    <w:link w:val="LEAP-Heading1Char"/>
    <w:qFormat/>
    <w:pPr>
      <w:spacing w:line="360" w:lineRule="auto"/>
    </w:pPr>
  </w:style>
  <w:style w:type="paragraph" w:customStyle="1" w:styleId="LEAP-Heading2">
    <w:name w:val="LEAP - Heading 2"/>
    <w:basedOn w:val="Heading2"/>
    <w:next w:val="Normal"/>
    <w:link w:val="LEAP-Heading2Char"/>
    <w:qFormat/>
    <w:pPr>
      <w:spacing w:line="360" w:lineRule="auto"/>
    </w:pPr>
  </w:style>
  <w:style w:type="paragraph" w:customStyle="1" w:styleId="LEAP-Heading3">
    <w:name w:val="LEAP - Heading 3"/>
    <w:basedOn w:val="Heading3"/>
    <w:next w:val="Normal"/>
    <w:link w:val="LEAP-Heading3Char"/>
    <w:qFormat/>
  </w:style>
  <w:style w:type="paragraph" w:customStyle="1" w:styleId="LEAP-Heading4">
    <w:name w:val="LEAP - Heading 4"/>
    <w:basedOn w:val="Heading4"/>
    <w:next w:val="Normal"/>
    <w:link w:val="LEAP-Heading4Char"/>
    <w:pPr>
      <w:spacing w:line="240" w:lineRule="auto"/>
    </w:pPr>
    <w:rPr>
      <w:b/>
    </w:rPr>
  </w:style>
  <w:style w:type="paragraph" w:customStyle="1" w:styleId="LEAP-Normal">
    <w:name w:val="LEAP - Normal"/>
    <w:basedOn w:val="Normal"/>
    <w:link w:val="LEAP-NormalChar"/>
    <w:pPr>
      <w:spacing w:before="360" w:after="360"/>
    </w:pPr>
    <w:rPr>
      <w:sz w:val="21"/>
    </w:rPr>
  </w:style>
  <w:style w:type="paragraph" w:customStyle="1" w:styleId="LEAP-Caption">
    <w:name w:val="LEAP - Caption"/>
    <w:basedOn w:val="Normal"/>
    <w:qFormat/>
    <w:pPr>
      <w:spacing w:before="100" w:after="100"/>
      <w:ind w:leftChars="900" w:left="200"/>
      <w:jc w:val="right"/>
    </w:pPr>
    <w:rPr>
      <w:i/>
      <w:color w:val="44546A" w:themeColor="text2"/>
    </w:rPr>
  </w:style>
  <w:style w:type="character" w:customStyle="1" w:styleId="LEAP-Heading1Char">
    <w:name w:val="LEAP - Heading 1 Char"/>
    <w:link w:val="LEAP-Heading1"/>
    <w:qFormat/>
    <w:rPr>
      <w:rFonts w:ascii="Antonio" w:hAnsi="Antonio"/>
    </w:rPr>
  </w:style>
  <w:style w:type="character" w:customStyle="1" w:styleId="LEAP-Heading4Char">
    <w:name w:val="LEAP - Heading 4 Char"/>
    <w:link w:val="LEAP-Heading4"/>
    <w:rPr>
      <w:rFonts w:ascii="Antonio" w:hAnsi="Antonio"/>
      <w:b/>
    </w:rPr>
  </w:style>
  <w:style w:type="character" w:customStyle="1" w:styleId="LEAP-Heading3Char">
    <w:name w:val="LEAP - Heading 3 Char"/>
    <w:link w:val="LEAP-Heading3"/>
    <w:rPr>
      <w:rFonts w:ascii="Antonio" w:hAnsi="Antonio"/>
    </w:rPr>
  </w:style>
  <w:style w:type="character" w:customStyle="1" w:styleId="LEAP-Heading2Char">
    <w:name w:val="LEAP - Heading 2 Char"/>
    <w:link w:val="LEAP-Heading2"/>
  </w:style>
  <w:style w:type="character" w:customStyle="1" w:styleId="LEAP-NormalChar">
    <w:name w:val="LEAP - Normal Char"/>
    <w:link w:val="LEAP-Normal"/>
    <w:rPr>
      <w:rFonts w:ascii="Calibri" w:hAnsi="Calibri"/>
      <w:sz w:val="21"/>
    </w:rPr>
  </w:style>
  <w:style w:type="paragraph" w:styleId="ListParagraph">
    <w:name w:val="List Paragraph"/>
    <w:basedOn w:val="Normal"/>
    <w:uiPriority w:val="34"/>
    <w:qFormat/>
    <w:rsid w:val="00C50886"/>
    <w:pPr>
      <w:spacing w:before="0" w:after="160" w:line="259" w:lineRule="auto"/>
      <w:ind w:left="720"/>
      <w:contextualSpacing/>
    </w:pPr>
    <w:rPr>
      <w:rFonts w:asciiTheme="minorHAnsi" w:eastAsiaTheme="minorHAnsi" w:hAnsiTheme="minorHAnsi" w:cstheme="minorBidi"/>
      <w:color w:val="auto"/>
      <w:sz w:val="22"/>
      <w:szCs w:val="22"/>
      <w:lang w:eastAsia="en-US"/>
    </w:rPr>
  </w:style>
  <w:style w:type="character" w:styleId="FootnoteReference">
    <w:name w:val="footnote reference"/>
    <w:basedOn w:val="DefaultParagraphFont"/>
    <w:uiPriority w:val="99"/>
    <w:unhideWhenUsed/>
    <w:rsid w:val="00975343"/>
    <w:rPr>
      <w:vertAlign w:val="superscript"/>
    </w:rPr>
  </w:style>
  <w:style w:type="paragraph" w:customStyle="1" w:styleId="Default">
    <w:name w:val="Default"/>
    <w:rsid w:val="00975343"/>
    <w:pPr>
      <w:autoSpaceDE w:val="0"/>
      <w:autoSpaceDN w:val="0"/>
      <w:adjustRightInd w:val="0"/>
      <w:spacing w:after="0" w:line="240" w:lineRule="auto"/>
    </w:pPr>
    <w:rPr>
      <w:rFonts w:ascii="Arial" w:eastAsiaTheme="minorHAnsi" w:hAnsi="Arial" w:cs="Arial"/>
      <w:color w:val="000000"/>
      <w:sz w:val="24"/>
      <w:szCs w:val="24"/>
    </w:rPr>
  </w:style>
  <w:style w:type="paragraph" w:styleId="FootnoteText">
    <w:name w:val="footnote text"/>
    <w:basedOn w:val="Normal"/>
    <w:link w:val="FootnoteTextChar"/>
    <w:uiPriority w:val="99"/>
    <w:unhideWhenUsed/>
    <w:rsid w:val="00975343"/>
    <w:pPr>
      <w:spacing w:before="0" w:after="0"/>
    </w:pPr>
    <w:rPr>
      <w:rFonts w:asciiTheme="minorHAnsi" w:eastAsiaTheme="minorHAnsi" w:hAnsiTheme="minorHAnsi" w:cstheme="minorBidi"/>
      <w:color w:val="auto"/>
      <w:lang w:eastAsia="en-US"/>
    </w:rPr>
  </w:style>
  <w:style w:type="character" w:customStyle="1" w:styleId="FootnoteTextChar">
    <w:name w:val="Footnote Text Char"/>
    <w:basedOn w:val="DefaultParagraphFont"/>
    <w:link w:val="FootnoteText"/>
    <w:uiPriority w:val="99"/>
    <w:rsid w:val="00975343"/>
    <w:rPr>
      <w:rFonts w:asciiTheme="minorHAnsi" w:eastAsiaTheme="minorHAnsi" w:hAnsiTheme="minorHAnsi" w:cstheme="minorBidi"/>
    </w:rPr>
  </w:style>
  <w:style w:type="table" w:customStyle="1" w:styleId="TableGrid2">
    <w:name w:val="Table Grid2"/>
    <w:basedOn w:val="TableNormal"/>
    <w:next w:val="TableGrid"/>
    <w:uiPriority w:val="59"/>
    <w:rsid w:val="00712EC0"/>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4EF3"/>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9E4EF3"/>
    <w:rPr>
      <w:rFonts w:ascii="Segoe UI" w:eastAsiaTheme="minorEastAsia" w:hAnsi="Segoe UI" w:cs="Segoe UI"/>
      <w:color w:val="585B5C"/>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i-orizonturi.ro/tineri/tabara-viata/" TargetMode="External"/><Relationship Id="rId18" Type="http://schemas.openxmlformats.org/officeDocument/2006/relationships/hyperlink" Target="http://www.oecd.org/education/talis/TALIS2018_CN_ROU.pdf" TargetMode="External"/><Relationship Id="rId26" Type="http://schemas.openxmlformats.org/officeDocument/2006/relationships/hyperlink" Target="https://ec.europa.eu/eurostat/statistics-explained/index.php?title=File:Young_people_(aged_20%E2%80%9334)_neither_in_employment_nor_in_education_and_training,_by_sex_and_age,_2019_(%25).png" TargetMode="External"/><Relationship Id="rId3" Type="http://schemas.openxmlformats.org/officeDocument/2006/relationships/numbering" Target="numbering.xml"/><Relationship Id="rId21" Type="http://schemas.openxmlformats.org/officeDocument/2006/relationships/hyperlink" Target="https://ec.europa.eu/eurostat/statistics-explained/index.php?title=File:2018data_Early_school_leavers-02.jpg" TargetMode="External"/><Relationship Id="rId7" Type="http://schemas.openxmlformats.org/officeDocument/2006/relationships/footnotes" Target="footnotes.xml"/><Relationship Id="rId12" Type="http://schemas.openxmlformats.org/officeDocument/2006/relationships/hyperlink" Target="https://www.noi-orizonturi.ro/profesori/scoli-comunitare/scoli-conectate-la-comunitate/" TargetMode="External"/><Relationship Id="rId17" Type="http://schemas.openxmlformats.org/officeDocument/2006/relationships/hyperlink" Target="https://insse.ro/cms/" TargetMode="External"/><Relationship Id="rId25" Type="http://schemas.openxmlformats.org/officeDocument/2006/relationships/hyperlink" Target="https://ec.europa.eu/eurostat/statistics-explained/index.php?title=File:Distribution_of_early_leavers_from_education_and_training_aged_18-24_by_labour_status,_2019_(%25_of_population_aged_18-24).png" TargetMode="External"/><Relationship Id="rId2" Type="http://schemas.openxmlformats.org/officeDocument/2006/relationships/customXml" Target="../customXml/item2.xml"/><Relationship Id="rId16" Type="http://schemas.openxmlformats.org/officeDocument/2006/relationships/hyperlink" Target="http://www.isjcj.ro" TargetMode="External"/><Relationship Id="rId20" Type="http://schemas.openxmlformats.org/officeDocument/2006/relationships/hyperlink" Target="https://www.edu.ro/sites/default/files/Anexa%201_Analiza%20functionala_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i-orizonturi.ro/arhitectii-educatiei/" TargetMode="External"/><Relationship Id="rId24" Type="http://schemas.openxmlformats.org/officeDocument/2006/relationships/hyperlink" Target="https://appsso.eurostat.ec.europa.eu/nui/show.do?dataset=edat_lfse_30&amp;lang=en" TargetMode="External"/><Relationship Id="rId5" Type="http://schemas.openxmlformats.org/officeDocument/2006/relationships/settings" Target="settings.xml"/><Relationship Id="rId15" Type="http://schemas.openxmlformats.org/officeDocument/2006/relationships/hyperlink" Target="http://www.gofree.ro/asociatia-go-free/" TargetMode="External"/><Relationship Id="rId23" Type="http://schemas.openxmlformats.org/officeDocument/2006/relationships/hyperlink" Target="https://ec.europa.eu/eurostat/statistics-explained/index.php?title=File:Distribution_of_early_leavers_from_education_and_training_aged_18-24_by_labour_status,_2019_(%25_of_population_aged_18-24).png" TargetMode="External"/><Relationship Id="rId28" Type="http://schemas.openxmlformats.org/officeDocument/2006/relationships/hyperlink" Target="https://ec.europa.eu/eurostat/statistics-explained/index.php?title=File:Employment_rates_of_recent_graduates_(aged_20%E2%80%9334)_not_in_education_and_training,_2019_(%25).png" TargetMode="External"/><Relationship Id="rId10" Type="http://schemas.openxmlformats.org/officeDocument/2006/relationships/hyperlink" Target="https://www.noi-orizonturi.ro/en/" TargetMode="External"/><Relationship Id="rId19" Type="http://schemas.openxmlformats.org/officeDocument/2006/relationships/hyperlink" Target="https://www.oecd.org/pisa/publications/PISA2018_CN_ROU.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www.noi-orizonturi.ro/portofoliu/incheiate/educatia-nonformala-tot-educatie/" TargetMode="External"/><Relationship Id="rId22" Type="http://schemas.openxmlformats.org/officeDocument/2006/relationships/hyperlink" Target="https://ec.europa.eu/eurostat/statistics-explained/index.php/Early_leavers_from_education_and_training" TargetMode="External"/><Relationship Id="rId27" Type="http://schemas.openxmlformats.org/officeDocument/2006/relationships/hyperlink" Target="https://ec.europa.eu/eurostat/statistics-explained/index.php?title=File:Young_people_(aged_20%E2%80%9334)_neither_in_employment_nor_in_education_and_training,_by_degree_of_urbanisation,_2019_(%25).pn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statistics-explained/index.php?title=File:Young_people_(aged_20%E2%80%9334)_neither_in_employment_nor_in_education_and_training,_by_degree_of_urbanisation,_2019_(%25).png" TargetMode="External"/><Relationship Id="rId13" Type="http://schemas.openxmlformats.org/officeDocument/2006/relationships/hyperlink" Target="https://www.edu.ro/sites/default/files/Anexa%201_Analiza%20functionala_0.pdf" TargetMode="External"/><Relationship Id="rId3" Type="http://schemas.openxmlformats.org/officeDocument/2006/relationships/hyperlink" Target="https://ec.europa.eu/eurostat/statistics-explained/index.php/Early_leavers_from_education_and_training" TargetMode="External"/><Relationship Id="rId7" Type="http://schemas.openxmlformats.org/officeDocument/2006/relationships/hyperlink" Target="https://ec.europa.eu/eurostat/statistics-explained/index.php?title=File:Young_people_(aged_20%E2%80%9334)_neither_in_employment_nor_in_education_and_training,_by_sex_and_age,_2019_(%25).png" TargetMode="External"/><Relationship Id="rId12" Type="http://schemas.openxmlformats.org/officeDocument/2006/relationships/hyperlink" Target="https://insse.ro/cms/" TargetMode="External"/><Relationship Id="rId2" Type="http://schemas.openxmlformats.org/officeDocument/2006/relationships/hyperlink" Target="https://ec.europa.eu/eurostat/statistics-explained/index.php?title=File:2018data_Early_school_leavers-02.jpg" TargetMode="External"/><Relationship Id="rId1" Type="http://schemas.openxmlformats.org/officeDocument/2006/relationships/hyperlink" Target="http://www.oecd.org/education/talis/TALIS2018_CN_ROU.pdf" TargetMode="External"/><Relationship Id="rId6" Type="http://schemas.openxmlformats.org/officeDocument/2006/relationships/hyperlink" Target="https://ec.europa.eu/eurostat/statistics-explained/index.php?title=File:Distribution_of_early_leavers_from_education_and_training_aged_18-24_by_labour_status,_2019_(%25_of_population_aged_18-24).png" TargetMode="External"/><Relationship Id="rId11" Type="http://schemas.openxmlformats.org/officeDocument/2006/relationships/hyperlink" Target="http://www.isjcj.ro" TargetMode="External"/><Relationship Id="rId5" Type="http://schemas.openxmlformats.org/officeDocument/2006/relationships/hyperlink" Target="https://appsso.eurostat.ec.europa.eu/nui/show.do?dataset=edat_lfse_30&amp;lang=en" TargetMode="External"/><Relationship Id="rId10" Type="http://schemas.openxmlformats.org/officeDocument/2006/relationships/hyperlink" Target="https://www.oecd.org/pisa/publications/PISA2018_CN_ROU.pdf" TargetMode="External"/><Relationship Id="rId4" Type="http://schemas.openxmlformats.org/officeDocument/2006/relationships/hyperlink" Target="https://ec.europa.eu/eurostat/statistics-explained/index.php?title=File:Distribution_of_early_leavers_from_education_and_training_aged_18-24_by_labour_status,_2019_(%25_of_population_aged_18-24).png" TargetMode="External"/><Relationship Id="rId9" Type="http://schemas.openxmlformats.org/officeDocument/2006/relationships/hyperlink" Target="https://ec.europa.eu/eurostat/statistics-explained/index.php?title=File:Employment_rates_of_recent_graduates_(aged_20%E2%80%9334)_not_in_education_and_training,_2019_(%25).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2020.03%20LEAP\final%20report\leap-sample-2020-09-03-08-2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e%20de%20lucru\Policy\proiect%20elvetian%202020_Botnar\desk%20review\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v>
                </c:pt>
              </c:strCache>
            </c:strRef>
          </c:tx>
          <c:spPr>
            <a:solidFill>
              <a:schemeClr val="accent1"/>
            </a:solidFill>
            <a:ln>
              <a:noFill/>
            </a:ln>
            <a:effectLst/>
          </c:spPr>
          <c:invertIfNegative val="0"/>
          <c:dLbls>
            <c:spPr>
              <a:noFill/>
              <a:ln>
                <a:noFill/>
              </a:ln>
              <a:effectLst/>
            </c:spPr>
            <c:txPr>
              <a:bodyPr rot="0" vert="horz"/>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Aggressive attitude of teachers towards students</c:v>
                </c:pt>
                <c:pt idx="1">
                  <c:v>Poor professional training of teachers</c:v>
                </c:pt>
                <c:pt idx="2">
                  <c:v>Lack of tenured teachers</c:v>
                </c:pt>
                <c:pt idx="3">
                  <c:v>Poor school / high school management</c:v>
                </c:pt>
                <c:pt idx="4">
                  <c:v>Tense relations between teachers </c:v>
                </c:pt>
                <c:pt idx="5">
                  <c:v>School located in a dangerous area</c:v>
                </c:pt>
                <c:pt idx="6">
                  <c:v>Lack of cleanliness inside the school</c:v>
                </c:pt>
                <c:pt idx="7">
                  <c:v>Low school safety</c:v>
                </c:pt>
                <c:pt idx="8">
                  <c:v>Unsatisfactory classroom conditions</c:v>
                </c:pt>
                <c:pt idx="9">
                  <c:v>Tense relations between students</c:v>
                </c:pt>
                <c:pt idx="10">
                  <c:v>Students' inappropriate attitude towards teachers</c:v>
                </c:pt>
                <c:pt idx="11">
                  <c:v>Poor equipment of school laboratories</c:v>
                </c:pt>
                <c:pt idx="12">
                  <c:v>Lack of funding</c:v>
                </c:pt>
                <c:pt idx="13">
                  <c:v>Students' poor learning outcomes</c:v>
                </c:pt>
                <c:pt idx="14">
                  <c:v>The high number of students from very poor families</c:v>
                </c:pt>
              </c:strCache>
            </c:strRef>
          </c:cat>
          <c:val>
            <c:numRef>
              <c:f>Sheet1!$B$2:$B$16</c:f>
              <c:numCache>
                <c:formatCode>General</c:formatCode>
                <c:ptCount val="15"/>
                <c:pt idx="0">
                  <c:v>2.5</c:v>
                </c:pt>
                <c:pt idx="1">
                  <c:v>3.4</c:v>
                </c:pt>
                <c:pt idx="2">
                  <c:v>4.5</c:v>
                </c:pt>
                <c:pt idx="3">
                  <c:v>4.5999999999999996</c:v>
                </c:pt>
                <c:pt idx="4">
                  <c:v>5.0999999999999996</c:v>
                </c:pt>
                <c:pt idx="5">
                  <c:v>6.3</c:v>
                </c:pt>
                <c:pt idx="6">
                  <c:v>7.7</c:v>
                </c:pt>
                <c:pt idx="7">
                  <c:v>13.7</c:v>
                </c:pt>
                <c:pt idx="8">
                  <c:v>14.4</c:v>
                </c:pt>
                <c:pt idx="9">
                  <c:v>17.399999999999999</c:v>
                </c:pt>
                <c:pt idx="10">
                  <c:v>24.1</c:v>
                </c:pt>
                <c:pt idx="11">
                  <c:v>35.5</c:v>
                </c:pt>
                <c:pt idx="12">
                  <c:v>36.5</c:v>
                </c:pt>
                <c:pt idx="13">
                  <c:v>37.4</c:v>
                </c:pt>
                <c:pt idx="14">
                  <c:v>38.299999999999997</c:v>
                </c:pt>
              </c:numCache>
            </c:numRef>
          </c:val>
          <c:extLst>
            <c:ext xmlns:c16="http://schemas.microsoft.com/office/drawing/2014/chart" uri="{C3380CC4-5D6E-409C-BE32-E72D297353CC}">
              <c16:uniqueId val="{00000000-008E-40C3-A6D4-6BD062FE5FC8}"/>
            </c:ext>
          </c:extLst>
        </c:ser>
        <c:dLbls>
          <c:showLegendKey val="0"/>
          <c:showVal val="0"/>
          <c:showCatName val="0"/>
          <c:showSerName val="0"/>
          <c:showPercent val="0"/>
          <c:showBubbleSize val="0"/>
        </c:dLbls>
        <c:gapWidth val="182"/>
        <c:axId val="99792384"/>
        <c:axId val="99793920"/>
      </c:barChart>
      <c:catAx>
        <c:axId val="9979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en-US"/>
          </a:p>
        </c:txPr>
        <c:crossAx val="99793920"/>
        <c:crosses val="autoZero"/>
        <c:auto val="1"/>
        <c:lblAlgn val="ctr"/>
        <c:lblOffset val="100"/>
        <c:noMultiLvlLbl val="0"/>
      </c:catAx>
      <c:valAx>
        <c:axId val="99793920"/>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sz="800"/>
            </a:pPr>
            <a:endParaRPr lang="en-US"/>
          </a:p>
        </c:txPr>
        <c:crossAx val="9979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n-lt"/>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D5F61-E574-4643-AF17-5A9EA399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leap-sample-2020-09-03-08-28</Template>
  <TotalTime>1</TotalTime>
  <Pages>15</Pages>
  <Words>6066</Words>
  <Characters>34578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zrd</dc:creator>
  <cp:lastModifiedBy>Ágnes BALÁZSI-PÁL (PONT Group)</cp:lastModifiedBy>
  <cp:revision>2</cp:revision>
  <dcterms:created xsi:type="dcterms:W3CDTF">2020-10-06T14:04:00Z</dcterms:created>
  <dcterms:modified xsi:type="dcterms:W3CDTF">2020-10-06T14:04:00Z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